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600" w:lineRule="exact"/>
        <w:jc w:val="center"/>
        <w:rPr>
          <w:rFonts w:ascii="华文中宋" w:hAnsi="华文中宋" w:eastAsia="华文中宋" w:cs="宋体"/>
          <w:b/>
          <w:kern w:val="0"/>
          <w:sz w:val="44"/>
          <w:szCs w:val="44"/>
        </w:rPr>
      </w:pPr>
      <w:bookmarkStart w:id="2" w:name="_GoBack"/>
      <w:bookmarkEnd w:id="2"/>
    </w:p>
    <w:p>
      <w:pPr>
        <w:widowControl/>
        <w:jc w:val="left"/>
        <w:rPr>
          <w:rFonts w:ascii="华文中宋" w:hAnsi="华文中宋" w:eastAsia="华文中宋" w:cs="宋体"/>
          <w:b/>
          <w:kern w:val="0"/>
          <w:sz w:val="44"/>
          <w:szCs w:val="44"/>
        </w:rPr>
      </w:pPr>
    </w:p>
    <w:p>
      <w:pPr>
        <w:widowControl/>
        <w:adjustRightInd w:val="0"/>
        <w:snapToGrid w:val="0"/>
        <w:spacing w:line="600" w:lineRule="exact"/>
        <w:jc w:val="center"/>
        <w:rPr>
          <w:rFonts w:ascii="华文中宋" w:hAnsi="华文中宋" w:eastAsia="华文中宋" w:cs="宋体"/>
          <w:b/>
          <w:kern w:val="0"/>
          <w:sz w:val="44"/>
          <w:szCs w:val="44"/>
        </w:rPr>
      </w:pPr>
      <w:r>
        <w:rPr>
          <w:rFonts w:hint="eastAsia" w:ascii="华文中宋" w:hAnsi="华文中宋" w:eastAsia="华文中宋" w:cs="宋体"/>
          <w:b/>
          <w:kern w:val="0"/>
          <w:sz w:val="44"/>
          <w:szCs w:val="44"/>
        </w:rPr>
        <w:t>深圳市2018年食品生产企业、</w:t>
      </w:r>
      <w:r>
        <w:rPr>
          <w:rFonts w:ascii="华文中宋" w:hAnsi="华文中宋" w:eastAsia="华文中宋" w:cs="宋体"/>
          <w:b/>
          <w:kern w:val="0"/>
          <w:sz w:val="44"/>
          <w:szCs w:val="44"/>
        </w:rPr>
        <w:t>餐饮服务单位</w:t>
      </w:r>
      <w:r>
        <w:rPr>
          <w:rFonts w:hint="eastAsia" w:ascii="华文中宋" w:hAnsi="华文中宋" w:eastAsia="华文中宋" w:cs="宋体"/>
          <w:b/>
          <w:kern w:val="0"/>
          <w:sz w:val="44"/>
          <w:szCs w:val="44"/>
        </w:rPr>
        <w:t>先进管理体系资金资助实施细则</w:t>
      </w:r>
    </w:p>
    <w:p>
      <w:pPr>
        <w:widowControl/>
        <w:adjustRightInd w:val="0"/>
        <w:snapToGrid w:val="0"/>
        <w:spacing w:line="600" w:lineRule="exact"/>
        <w:ind w:firstLine="640" w:firstLineChars="200"/>
        <w:rPr>
          <w:rFonts w:ascii="仿宋_GB2312" w:hAnsi="宋体" w:eastAsia="仿宋_GB2312" w:cs="宋体"/>
          <w:kern w:val="0"/>
          <w:sz w:val="32"/>
          <w:szCs w:val="32"/>
        </w:rPr>
      </w:pPr>
    </w:p>
    <w:p>
      <w:pPr>
        <w:widowControl/>
        <w:adjustRightInd w:val="0"/>
        <w:snapToGrid w:val="0"/>
        <w:spacing w:line="600" w:lineRule="exact"/>
        <w:jc w:val="center"/>
        <w:rPr>
          <w:rFonts w:ascii="黑体" w:hAnsi="黑体" w:eastAsia="黑体" w:cs="宋体"/>
          <w:kern w:val="0"/>
          <w:sz w:val="32"/>
          <w:szCs w:val="32"/>
        </w:rPr>
      </w:pPr>
      <w:r>
        <w:rPr>
          <w:rFonts w:hint="eastAsia" w:ascii="黑体" w:hAnsi="黑体" w:eastAsia="黑体" w:cs="宋体"/>
          <w:kern w:val="0"/>
          <w:sz w:val="32"/>
          <w:szCs w:val="32"/>
        </w:rPr>
        <w:t>第一章 总则</w:t>
      </w:r>
    </w:p>
    <w:p>
      <w:pPr>
        <w:widowControl/>
        <w:adjustRightInd w:val="0"/>
        <w:snapToGrid w:val="0"/>
        <w:spacing w:line="600" w:lineRule="exact"/>
        <w:ind w:firstLine="640" w:firstLineChars="200"/>
        <w:rPr>
          <w:rFonts w:ascii="仿宋_GB2312" w:hAnsi="宋体" w:eastAsia="仿宋_GB2312" w:cs="宋体"/>
          <w:kern w:val="0"/>
          <w:sz w:val="32"/>
          <w:szCs w:val="32"/>
        </w:rPr>
      </w:pPr>
      <w:r>
        <w:rPr>
          <w:rFonts w:hint="eastAsia" w:ascii="黑体" w:hAnsi="黑体" w:eastAsia="黑体" w:cs="宋体"/>
          <w:kern w:val="0"/>
          <w:sz w:val="32"/>
          <w:szCs w:val="32"/>
        </w:rPr>
        <w:t xml:space="preserve">第一条 </w:t>
      </w:r>
      <w:r>
        <w:rPr>
          <w:rFonts w:hint="eastAsia" w:ascii="仿宋_GB2312" w:hAnsi="宋体" w:eastAsia="仿宋_GB2312" w:cs="宋体"/>
          <w:kern w:val="0"/>
          <w:sz w:val="32"/>
          <w:szCs w:val="32"/>
        </w:rPr>
        <w:t>为了规范深圳市食品生产企业、餐饮服务单位先进管理体系资金资助，根据《深圳市食品生产经营单位先进管理体系资金资助管理办法》（以下简称《管理办法》），结合资金管理实际，制定本实施细则。</w:t>
      </w:r>
    </w:p>
    <w:p>
      <w:pPr>
        <w:widowControl/>
        <w:adjustRightInd w:val="0"/>
        <w:snapToGrid w:val="0"/>
        <w:spacing w:line="600" w:lineRule="exact"/>
        <w:ind w:firstLine="640" w:firstLineChars="200"/>
        <w:rPr>
          <w:rFonts w:ascii="仿宋_GB2312" w:hAnsi="宋体" w:eastAsia="仿宋_GB2312" w:cs="宋体"/>
          <w:kern w:val="0"/>
          <w:sz w:val="32"/>
          <w:szCs w:val="32"/>
        </w:rPr>
      </w:pPr>
      <w:r>
        <w:rPr>
          <w:rFonts w:hint="eastAsia" w:ascii="黑体" w:hAnsi="黑体" w:eastAsia="黑体" w:cs="宋体"/>
          <w:kern w:val="0"/>
          <w:sz w:val="32"/>
          <w:szCs w:val="32"/>
        </w:rPr>
        <w:t xml:space="preserve">第二条 </w:t>
      </w:r>
      <w:r>
        <w:rPr>
          <w:rFonts w:hint="eastAsia" w:ascii="仿宋_GB2312" w:hAnsi="宋体" w:eastAsia="仿宋_GB2312" w:cs="宋体"/>
          <w:kern w:val="0"/>
          <w:sz w:val="32"/>
          <w:szCs w:val="32"/>
        </w:rPr>
        <w:t>本实施细则适用于深圳市201</w:t>
      </w:r>
      <w:r>
        <w:rPr>
          <w:rFonts w:ascii="仿宋_GB2312" w:hAnsi="宋体" w:eastAsia="仿宋_GB2312" w:cs="宋体"/>
          <w:kern w:val="0"/>
          <w:sz w:val="32"/>
          <w:szCs w:val="32"/>
        </w:rPr>
        <w:t>8</w:t>
      </w:r>
      <w:r>
        <w:rPr>
          <w:rFonts w:hint="eastAsia" w:ascii="仿宋_GB2312" w:hAnsi="宋体" w:eastAsia="仿宋_GB2312" w:cs="宋体"/>
          <w:kern w:val="0"/>
          <w:sz w:val="32"/>
          <w:szCs w:val="32"/>
        </w:rPr>
        <w:t>年食品生产企业、餐饮服务单位先进管理体系的资金资助工作。</w:t>
      </w:r>
    </w:p>
    <w:p>
      <w:pPr>
        <w:widowControl/>
        <w:adjustRightInd w:val="0"/>
        <w:snapToGrid w:val="0"/>
        <w:spacing w:line="600" w:lineRule="exact"/>
        <w:ind w:firstLine="640" w:firstLineChars="200"/>
        <w:rPr>
          <w:rFonts w:ascii="仿宋_GB2312" w:hAnsi="宋体" w:eastAsia="仿宋_GB2312" w:cs="宋体"/>
          <w:kern w:val="0"/>
          <w:sz w:val="32"/>
          <w:szCs w:val="32"/>
        </w:rPr>
      </w:pPr>
      <w:r>
        <w:rPr>
          <w:rFonts w:hint="eastAsia" w:ascii="黑体" w:hAnsi="黑体" w:eastAsia="黑体" w:cs="宋体"/>
          <w:kern w:val="0"/>
          <w:sz w:val="32"/>
          <w:szCs w:val="32"/>
        </w:rPr>
        <w:t>第三条</w:t>
      </w:r>
      <w:r>
        <w:rPr>
          <w:rFonts w:hint="eastAsia" w:ascii="仿宋_GB2312" w:hAnsi="宋体" w:eastAsia="仿宋_GB2312" w:cs="宋体"/>
          <w:kern w:val="0"/>
          <w:sz w:val="32"/>
          <w:szCs w:val="32"/>
        </w:rPr>
        <w:t xml:space="preserve"> 本年度资金资助工作根据年度资金计划，结合实际工作情况，按照本实施细则有关规定</w:t>
      </w:r>
      <w:r>
        <w:rPr>
          <w:rFonts w:ascii="仿宋_GB2312" w:hAnsi="宋体" w:eastAsia="仿宋_GB2312" w:cs="宋体"/>
          <w:kern w:val="0"/>
          <w:sz w:val="32"/>
          <w:szCs w:val="32"/>
        </w:rPr>
        <w:t>确定资助方向</w:t>
      </w:r>
      <w:r>
        <w:rPr>
          <w:rFonts w:hint="eastAsia" w:ascii="仿宋_GB2312" w:hAnsi="宋体" w:eastAsia="仿宋_GB2312" w:cs="宋体"/>
          <w:kern w:val="0"/>
          <w:sz w:val="32"/>
          <w:szCs w:val="32"/>
        </w:rPr>
        <w:t>、资助</w:t>
      </w:r>
      <w:r>
        <w:rPr>
          <w:rFonts w:ascii="仿宋_GB2312" w:hAnsi="宋体" w:eastAsia="仿宋_GB2312" w:cs="宋体"/>
          <w:kern w:val="0"/>
          <w:sz w:val="32"/>
          <w:szCs w:val="32"/>
        </w:rPr>
        <w:t>额度</w:t>
      </w:r>
      <w:r>
        <w:rPr>
          <w:rFonts w:hint="eastAsia" w:ascii="仿宋_GB2312" w:hAnsi="宋体" w:eastAsia="仿宋_GB2312" w:cs="宋体"/>
          <w:kern w:val="0"/>
          <w:sz w:val="32"/>
          <w:szCs w:val="32"/>
        </w:rPr>
        <w:t>和资助名额</w:t>
      </w:r>
      <w:r>
        <w:rPr>
          <w:rFonts w:ascii="仿宋_GB2312" w:hAnsi="宋体" w:eastAsia="仿宋_GB2312" w:cs="宋体"/>
          <w:kern w:val="0"/>
          <w:sz w:val="32"/>
          <w:szCs w:val="32"/>
        </w:rPr>
        <w:t>。</w:t>
      </w:r>
    </w:p>
    <w:p>
      <w:pPr>
        <w:widowControl/>
        <w:adjustRightInd w:val="0"/>
        <w:snapToGrid w:val="0"/>
        <w:spacing w:line="600" w:lineRule="exact"/>
        <w:jc w:val="center"/>
        <w:rPr>
          <w:rFonts w:ascii="黑体" w:hAnsi="黑体" w:eastAsia="黑体" w:cs="宋体"/>
          <w:kern w:val="0"/>
          <w:sz w:val="32"/>
          <w:szCs w:val="32"/>
        </w:rPr>
      </w:pPr>
      <w:r>
        <w:rPr>
          <w:rFonts w:hint="eastAsia" w:ascii="黑体" w:hAnsi="黑体" w:eastAsia="黑体" w:cs="宋体"/>
          <w:kern w:val="0"/>
          <w:sz w:val="32"/>
          <w:szCs w:val="32"/>
        </w:rPr>
        <w:t>第二章 资助对象及资助条件</w:t>
      </w:r>
    </w:p>
    <w:p>
      <w:pPr>
        <w:widowControl/>
        <w:adjustRightInd w:val="0"/>
        <w:snapToGrid w:val="0"/>
        <w:spacing w:line="600" w:lineRule="exact"/>
        <w:ind w:firstLine="640" w:firstLineChars="200"/>
        <w:rPr>
          <w:rFonts w:ascii="仿宋_GB2312" w:hAnsi="宋体" w:eastAsia="仿宋_GB2312" w:cs="宋体"/>
          <w:kern w:val="0"/>
          <w:sz w:val="32"/>
          <w:szCs w:val="32"/>
        </w:rPr>
      </w:pPr>
      <w:r>
        <w:rPr>
          <w:rFonts w:hint="eastAsia" w:ascii="黑体" w:hAnsi="黑体" w:eastAsia="黑体" w:cs="宋体"/>
          <w:kern w:val="0"/>
          <w:sz w:val="32"/>
          <w:szCs w:val="32"/>
        </w:rPr>
        <w:t xml:space="preserve">第四条 </w:t>
      </w:r>
      <w:r>
        <w:rPr>
          <w:rFonts w:hint="eastAsia" w:ascii="仿宋_GB2312" w:hAnsi="宋体" w:eastAsia="仿宋_GB2312" w:cs="宋体"/>
          <w:kern w:val="0"/>
          <w:sz w:val="32"/>
          <w:szCs w:val="32"/>
        </w:rPr>
        <w:t>本实施细则的资助对象为符合《管理办法》及本实施细则规定的资助条件，且没有申报过同类资助的深圳市食品（包括食品添加剂，下同）生产企业、餐饮服务单位。</w:t>
      </w:r>
    </w:p>
    <w:p>
      <w:pPr>
        <w:widowControl/>
        <w:adjustRightInd w:val="0"/>
        <w:snapToGrid w:val="0"/>
        <w:spacing w:line="600" w:lineRule="exact"/>
        <w:ind w:firstLine="640" w:firstLineChars="200"/>
        <w:rPr>
          <w:rFonts w:ascii="仿宋_GB2312" w:hAnsi="宋体" w:eastAsia="仿宋_GB2312" w:cs="宋体"/>
          <w:kern w:val="0"/>
          <w:sz w:val="32"/>
          <w:szCs w:val="32"/>
        </w:rPr>
      </w:pPr>
      <w:r>
        <w:rPr>
          <w:rFonts w:hint="eastAsia" w:ascii="黑体" w:hAnsi="黑体" w:eastAsia="黑体" w:cs="宋体"/>
          <w:kern w:val="0"/>
          <w:sz w:val="32"/>
          <w:szCs w:val="32"/>
        </w:rPr>
        <w:t xml:space="preserve">第五条 </w:t>
      </w:r>
      <w:r>
        <w:rPr>
          <w:rFonts w:hint="eastAsia" w:ascii="仿宋_GB2312" w:hAnsi="宋体" w:eastAsia="仿宋_GB2312" w:cs="宋体"/>
          <w:kern w:val="0"/>
          <w:sz w:val="32"/>
          <w:szCs w:val="32"/>
        </w:rPr>
        <w:t>申报资金资助的食品生产企业，应当具备以下条件：</w:t>
      </w:r>
    </w:p>
    <w:p>
      <w:pPr>
        <w:widowControl/>
        <w:adjustRightInd w:val="0"/>
        <w:snapToGrid w:val="0"/>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（一）在本市依法设立，并获得市主管部门发放的有效的食品生产许可证；</w:t>
      </w:r>
    </w:p>
    <w:p>
      <w:pPr>
        <w:widowControl/>
        <w:adjustRightInd w:val="0"/>
        <w:snapToGrid w:val="0"/>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（二）实施HACCP或ISO22000食品安全管理体系，证书在有效期内</w:t>
      </w:r>
      <w:r>
        <w:rPr>
          <w:rFonts w:ascii="仿宋_GB2312" w:hAnsi="宋体" w:eastAsia="仿宋_GB2312" w:cs="宋体"/>
          <w:kern w:val="0"/>
          <w:sz w:val="32"/>
          <w:szCs w:val="32"/>
        </w:rPr>
        <w:t>。</w:t>
      </w:r>
    </w:p>
    <w:p>
      <w:pPr>
        <w:widowControl/>
        <w:adjustRightInd w:val="0"/>
        <w:snapToGrid w:val="0"/>
        <w:spacing w:line="600" w:lineRule="exact"/>
        <w:ind w:firstLine="640" w:firstLineChars="200"/>
        <w:rPr>
          <w:rFonts w:ascii="仿宋_GB2312" w:hAnsi="宋体" w:eastAsia="仿宋_GB2312" w:cs="宋体"/>
          <w:kern w:val="0"/>
          <w:sz w:val="32"/>
          <w:szCs w:val="32"/>
        </w:rPr>
      </w:pPr>
      <w:r>
        <w:rPr>
          <w:rFonts w:hint="eastAsia" w:ascii="黑体" w:hAnsi="黑体" w:eastAsia="黑体" w:cs="宋体"/>
          <w:kern w:val="0"/>
          <w:sz w:val="32"/>
          <w:szCs w:val="32"/>
        </w:rPr>
        <w:t xml:space="preserve">第六条 </w:t>
      </w:r>
      <w:r>
        <w:rPr>
          <w:rFonts w:hint="eastAsia" w:ascii="仿宋_GB2312" w:hAnsi="宋体" w:eastAsia="仿宋_GB2312" w:cs="宋体"/>
          <w:kern w:val="0"/>
          <w:sz w:val="32"/>
          <w:szCs w:val="32"/>
        </w:rPr>
        <w:t>申报资金资助的餐饮服务单位，应当具备以下条件：</w:t>
      </w:r>
    </w:p>
    <w:p>
      <w:pPr>
        <w:widowControl/>
        <w:adjustRightInd w:val="0"/>
        <w:snapToGrid w:val="0"/>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（一）在本市依法设立，并获得相应有效食品经营或餐饮服务许可证；</w:t>
      </w:r>
    </w:p>
    <w:p>
      <w:pPr>
        <w:widowControl/>
        <w:adjustRightInd w:val="0"/>
        <w:snapToGrid w:val="0"/>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二）自2012年以来，获得以下食品安全监管部门评定（三选一）：1.“广东省餐饮服务食品安全示范单位”（含省级食品安全示范学校食堂），并按照市食品安全主管部门的要求规范建设“明厨亮灶”；2.“深圳市餐饮服务食品安全示范单位”，并按照市食品安全主管部门的要求规范建设“明厨亮灶”；3.通过《餐饮业食品安全管理规范》（深圳标准SZDB/Z 256-2017）评审。</w:t>
      </w:r>
    </w:p>
    <w:p>
      <w:pPr>
        <w:widowControl/>
        <w:adjustRightInd w:val="0"/>
        <w:snapToGrid w:val="0"/>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(三)同一品牌的餐饮连锁单位本年度申报不超过三家门店。</w:t>
      </w:r>
    </w:p>
    <w:p>
      <w:pPr>
        <w:widowControl/>
        <w:adjustRightInd w:val="0"/>
        <w:snapToGrid w:val="0"/>
        <w:spacing w:line="600" w:lineRule="exact"/>
        <w:ind w:firstLine="640" w:firstLineChars="200"/>
        <w:rPr>
          <w:rFonts w:ascii="仿宋_GB2312" w:hAnsi="宋体" w:eastAsia="仿宋_GB2312" w:cs="宋体"/>
          <w:kern w:val="0"/>
          <w:sz w:val="32"/>
          <w:szCs w:val="32"/>
        </w:rPr>
      </w:pPr>
      <w:r>
        <w:rPr>
          <w:rFonts w:hint="eastAsia" w:ascii="黑体" w:hAnsi="黑体" w:eastAsia="黑体" w:cs="宋体"/>
          <w:kern w:val="0"/>
          <w:sz w:val="32"/>
          <w:szCs w:val="32"/>
        </w:rPr>
        <w:t xml:space="preserve">第七条 </w:t>
      </w:r>
      <w:r>
        <w:rPr>
          <w:rFonts w:hint="eastAsia" w:ascii="仿宋_GB2312" w:hAnsi="宋体" w:eastAsia="仿宋_GB2312" w:cs="宋体"/>
          <w:kern w:val="0"/>
          <w:sz w:val="32"/>
          <w:szCs w:val="32"/>
        </w:rPr>
        <w:t>如存在符合《管理办法》及本实施细则第六条资助条件的餐饮服务单位数量超出年度资助名额的情况，将以下条件列入优先因素进行分数累加，并按分数从高到低进行排序筛选，最终排名靠前的，确定为年度资助单位：</w:t>
      </w:r>
    </w:p>
    <w:p>
      <w:pPr>
        <w:widowControl/>
        <w:adjustRightInd w:val="0"/>
        <w:snapToGrid w:val="0"/>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（一）通过《餐饮业食品安全管理规范》（深圳标准SZDB</w:t>
      </w:r>
      <w:r>
        <w:rPr>
          <w:rFonts w:ascii="仿宋_GB2312" w:hAnsi="宋体" w:eastAsia="仿宋_GB2312" w:cs="宋体"/>
          <w:kern w:val="0"/>
          <w:sz w:val="32"/>
          <w:szCs w:val="32"/>
        </w:rPr>
        <w:t>/</w:t>
      </w:r>
      <w:r>
        <w:rPr>
          <w:rFonts w:hint="eastAsia" w:ascii="仿宋_GB2312" w:hAnsi="宋体" w:eastAsia="仿宋_GB2312" w:cs="宋体"/>
          <w:kern w:val="0"/>
          <w:sz w:val="32"/>
          <w:szCs w:val="32"/>
        </w:rPr>
        <w:t>Z 256-2017）评审的，加20分；</w:t>
      </w:r>
    </w:p>
    <w:p>
      <w:pPr>
        <w:widowControl/>
        <w:adjustRightInd w:val="0"/>
        <w:snapToGrid w:val="0"/>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（二）有效落实“五常法”、“6T”、HACCP、ISO 22000等食品安全管理体系，且能出具有关认证证明材料或现场管理证明材料的，加5分；</w:t>
      </w:r>
    </w:p>
    <w:p>
      <w:pPr>
        <w:widowControl/>
        <w:adjustRightInd w:val="0"/>
        <w:snapToGrid w:val="0"/>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（三）历年来经常承接我市重大活动饮食接待的，加5分；</w:t>
      </w:r>
    </w:p>
    <w:p>
      <w:pPr>
        <w:widowControl/>
        <w:adjustRightInd w:val="0"/>
        <w:snapToGrid w:val="0"/>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（四）积极承担社会责任，开展其它由市食品安全主管部门认定的有益提升本单位食品安全创新提升，或带动本市餐饮行业食品安全规范提升的，加5分；</w:t>
      </w:r>
    </w:p>
    <w:p>
      <w:pPr>
        <w:widowControl/>
        <w:adjustRightInd w:val="0"/>
        <w:snapToGrid w:val="0"/>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（五）餐饮服务单位最大供餐</w:t>
      </w:r>
      <w:r>
        <w:rPr>
          <w:rFonts w:ascii="仿宋_GB2312" w:hAnsi="宋体" w:eastAsia="仿宋_GB2312" w:cs="宋体"/>
          <w:kern w:val="0"/>
          <w:sz w:val="32"/>
          <w:szCs w:val="32"/>
        </w:rPr>
        <w:t>人数</w:t>
      </w:r>
      <w:r>
        <w:rPr>
          <w:rFonts w:hint="eastAsia" w:ascii="仿宋_GB2312" w:hAnsi="宋体" w:eastAsia="仿宋_GB2312" w:cs="宋体"/>
          <w:kern w:val="0"/>
          <w:sz w:val="32"/>
          <w:szCs w:val="32"/>
        </w:rPr>
        <w:t>超过500人的，加5分。</w:t>
      </w:r>
    </w:p>
    <w:p>
      <w:pPr>
        <w:widowControl/>
        <w:adjustRightInd w:val="0"/>
        <w:snapToGrid w:val="0"/>
        <w:spacing w:line="600" w:lineRule="exact"/>
        <w:jc w:val="center"/>
        <w:rPr>
          <w:rFonts w:ascii="黑体" w:hAnsi="黑体" w:eastAsia="黑体" w:cs="宋体"/>
          <w:kern w:val="0"/>
          <w:sz w:val="32"/>
          <w:szCs w:val="32"/>
        </w:rPr>
      </w:pPr>
      <w:r>
        <w:rPr>
          <w:rFonts w:hint="eastAsia" w:ascii="黑体" w:hAnsi="黑体" w:eastAsia="黑体" w:cs="宋体"/>
          <w:kern w:val="0"/>
          <w:sz w:val="32"/>
          <w:szCs w:val="32"/>
        </w:rPr>
        <w:t>第三章 申报单位提交材料</w:t>
      </w:r>
    </w:p>
    <w:p>
      <w:pPr>
        <w:widowControl/>
        <w:adjustRightInd w:val="0"/>
        <w:snapToGrid w:val="0"/>
        <w:spacing w:line="600" w:lineRule="exact"/>
        <w:ind w:firstLine="640" w:firstLineChars="200"/>
        <w:rPr>
          <w:rFonts w:ascii="仿宋_GB2312" w:hAnsi="宋体" w:eastAsia="仿宋_GB2312" w:cs="宋体"/>
          <w:kern w:val="0"/>
          <w:sz w:val="32"/>
          <w:szCs w:val="32"/>
        </w:rPr>
      </w:pPr>
      <w:r>
        <w:rPr>
          <w:rFonts w:hint="eastAsia" w:ascii="黑体" w:hAnsi="黑体" w:eastAsia="黑体" w:cs="宋体"/>
          <w:kern w:val="0"/>
          <w:sz w:val="32"/>
          <w:szCs w:val="32"/>
        </w:rPr>
        <w:t xml:space="preserve">第八条 </w:t>
      </w:r>
      <w:r>
        <w:rPr>
          <w:rFonts w:hint="eastAsia" w:ascii="仿宋_GB2312" w:hAnsi="宋体" w:eastAsia="仿宋_GB2312" w:cs="宋体"/>
          <w:kern w:val="0"/>
          <w:sz w:val="32"/>
          <w:szCs w:val="32"/>
        </w:rPr>
        <w:t>申报资金资助的食品生产企业，应当提交以下材料（均需加盖申报企业公章）：</w:t>
      </w:r>
    </w:p>
    <w:p>
      <w:pPr>
        <w:widowControl/>
        <w:adjustRightInd w:val="0"/>
        <w:snapToGrid w:val="0"/>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（一）《深圳市食品生产经营单位先进管理体系资金资助申报书》（申报单位可在深圳市食品药品监督管理局官方网站下载）；</w:t>
      </w:r>
    </w:p>
    <w:p>
      <w:pPr>
        <w:widowControl/>
        <w:adjustRightInd w:val="0"/>
        <w:snapToGrid w:val="0"/>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（二）营业执照复印件及食品生产许可证复印件（均验原件）；</w:t>
      </w:r>
    </w:p>
    <w:p>
      <w:pPr>
        <w:widowControl/>
        <w:adjustRightInd w:val="0"/>
        <w:snapToGrid w:val="0"/>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（三）有效的食品安全管理体系认证证书（国家注册认可并且有效）复印件以及认证机构加盖公章的现场审核报告复印件（均验原件）。</w:t>
      </w:r>
    </w:p>
    <w:p>
      <w:pPr>
        <w:widowControl/>
        <w:adjustRightInd w:val="0"/>
        <w:snapToGrid w:val="0"/>
        <w:spacing w:line="600" w:lineRule="exact"/>
        <w:ind w:firstLine="640" w:firstLineChars="200"/>
        <w:rPr>
          <w:rFonts w:ascii="仿宋_GB2312" w:hAnsi="宋体" w:eastAsia="仿宋_GB2312" w:cs="宋体"/>
          <w:kern w:val="0"/>
          <w:sz w:val="32"/>
          <w:szCs w:val="32"/>
        </w:rPr>
      </w:pPr>
      <w:r>
        <w:rPr>
          <w:rFonts w:hint="eastAsia" w:ascii="黑体" w:hAnsi="黑体" w:eastAsia="黑体" w:cs="宋体"/>
          <w:kern w:val="0"/>
          <w:sz w:val="32"/>
          <w:szCs w:val="32"/>
        </w:rPr>
        <w:t xml:space="preserve">第九条 </w:t>
      </w:r>
      <w:r>
        <w:rPr>
          <w:rFonts w:hint="eastAsia" w:ascii="仿宋_GB2312" w:hAnsi="宋体" w:eastAsia="仿宋_GB2312" w:cs="宋体"/>
          <w:kern w:val="0"/>
          <w:sz w:val="32"/>
          <w:szCs w:val="32"/>
        </w:rPr>
        <w:t>申报资金资助的餐饮服务单位，应当提交以下材料（均需加盖申报单位公章）：</w:t>
      </w:r>
    </w:p>
    <w:p>
      <w:pPr>
        <w:widowControl/>
        <w:adjustRightInd w:val="0"/>
        <w:snapToGrid w:val="0"/>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（一）《深圳市食品生产经营单位先进管理体系资金资助申报书》（申报单位可在深圳市食品药品监督管理局官方网站下载）；</w:t>
      </w:r>
    </w:p>
    <w:p>
      <w:pPr>
        <w:widowControl/>
        <w:adjustRightInd w:val="0"/>
        <w:snapToGrid w:val="0"/>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（二）餐饮服务许可证或食品经营许可证复印件。不具有独立主体资格的分支机构申报资助，应提交设立该分支机构的法人或其他组织相应文件以及隶属关系证明；</w:t>
      </w:r>
    </w:p>
    <w:p>
      <w:pPr>
        <w:widowControl/>
        <w:adjustRightInd w:val="0"/>
        <w:snapToGrid w:val="0"/>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（三）三选一：1.已获得食品安全监管部门评定的“广东省餐饮服务食品安全示范单位”（含食品安全示范学校食堂）的</w:t>
      </w:r>
      <w:r>
        <w:rPr>
          <w:rFonts w:ascii="仿宋_GB2312" w:hAnsi="宋体" w:eastAsia="仿宋_GB2312" w:cs="宋体"/>
          <w:kern w:val="0"/>
          <w:sz w:val="32"/>
          <w:szCs w:val="32"/>
        </w:rPr>
        <w:t>证明文件或</w:t>
      </w:r>
      <w:r>
        <w:rPr>
          <w:rFonts w:hint="eastAsia" w:ascii="仿宋_GB2312" w:hAnsi="宋体" w:eastAsia="仿宋_GB2312" w:cs="宋体"/>
          <w:kern w:val="0"/>
          <w:sz w:val="32"/>
          <w:szCs w:val="32"/>
        </w:rPr>
        <w:t>证书</w:t>
      </w:r>
      <w:r>
        <w:rPr>
          <w:rFonts w:ascii="仿宋_GB2312" w:hAnsi="宋体" w:eastAsia="仿宋_GB2312" w:cs="宋体"/>
          <w:kern w:val="0"/>
          <w:sz w:val="32"/>
          <w:szCs w:val="32"/>
        </w:rPr>
        <w:t>复印件</w:t>
      </w:r>
      <w:r>
        <w:rPr>
          <w:rFonts w:hint="eastAsia" w:ascii="仿宋_GB2312" w:hAnsi="宋体" w:eastAsia="仿宋_GB2312" w:cs="宋体"/>
          <w:kern w:val="0"/>
          <w:sz w:val="32"/>
          <w:szCs w:val="32"/>
        </w:rPr>
        <w:t>，</w:t>
      </w:r>
      <w:r>
        <w:rPr>
          <w:rFonts w:ascii="仿宋_GB2312" w:hAnsi="宋体" w:eastAsia="仿宋_GB2312" w:cs="宋体"/>
          <w:kern w:val="0"/>
          <w:sz w:val="32"/>
          <w:szCs w:val="32"/>
        </w:rPr>
        <w:t>以及</w:t>
      </w:r>
      <w:r>
        <w:rPr>
          <w:rFonts w:hint="eastAsia" w:ascii="仿宋_GB2312" w:hAnsi="宋体" w:eastAsia="仿宋_GB2312" w:cs="宋体"/>
          <w:kern w:val="0"/>
          <w:sz w:val="32"/>
          <w:szCs w:val="32"/>
        </w:rPr>
        <w:t>证明规范建设“明厨亮灶”的图像资料；2.已获得食品安全监管部门评定的“深圳市餐饮服务食品安全示范单位”的</w:t>
      </w:r>
      <w:r>
        <w:rPr>
          <w:rFonts w:ascii="仿宋_GB2312" w:hAnsi="宋体" w:eastAsia="仿宋_GB2312" w:cs="宋体"/>
          <w:kern w:val="0"/>
          <w:sz w:val="32"/>
          <w:szCs w:val="32"/>
        </w:rPr>
        <w:t>证明文件或</w:t>
      </w:r>
      <w:r>
        <w:rPr>
          <w:rFonts w:hint="eastAsia" w:ascii="仿宋_GB2312" w:hAnsi="宋体" w:eastAsia="仿宋_GB2312" w:cs="宋体"/>
          <w:kern w:val="0"/>
          <w:sz w:val="32"/>
          <w:szCs w:val="32"/>
        </w:rPr>
        <w:t>证书</w:t>
      </w:r>
      <w:r>
        <w:rPr>
          <w:rFonts w:ascii="仿宋_GB2312" w:hAnsi="宋体" w:eastAsia="仿宋_GB2312" w:cs="宋体"/>
          <w:kern w:val="0"/>
          <w:sz w:val="32"/>
          <w:szCs w:val="32"/>
        </w:rPr>
        <w:t>复印件</w:t>
      </w:r>
      <w:r>
        <w:rPr>
          <w:rFonts w:hint="eastAsia" w:ascii="仿宋_GB2312" w:hAnsi="宋体" w:eastAsia="仿宋_GB2312" w:cs="宋体"/>
          <w:kern w:val="0"/>
          <w:sz w:val="32"/>
          <w:szCs w:val="32"/>
        </w:rPr>
        <w:t>，</w:t>
      </w:r>
      <w:r>
        <w:rPr>
          <w:rFonts w:ascii="仿宋_GB2312" w:hAnsi="宋体" w:eastAsia="仿宋_GB2312" w:cs="宋体"/>
          <w:kern w:val="0"/>
          <w:sz w:val="32"/>
          <w:szCs w:val="32"/>
        </w:rPr>
        <w:t>以及</w:t>
      </w:r>
      <w:r>
        <w:rPr>
          <w:rFonts w:hint="eastAsia" w:ascii="仿宋_GB2312" w:hAnsi="宋体" w:eastAsia="仿宋_GB2312" w:cs="宋体"/>
          <w:kern w:val="0"/>
          <w:sz w:val="32"/>
          <w:szCs w:val="32"/>
        </w:rPr>
        <w:t>证明规范建设“明厨亮灶”的图像资料；3.通过《餐饮业食品安全管理规范》（深圳标准</w:t>
      </w:r>
      <w:bookmarkStart w:id="0" w:name="OLE_LINK1"/>
      <w:bookmarkStart w:id="1" w:name="OLE_LINK2"/>
      <w:r>
        <w:rPr>
          <w:rFonts w:hint="eastAsia" w:ascii="仿宋_GB2312" w:hAnsi="宋体" w:eastAsia="仿宋_GB2312" w:cs="宋体"/>
          <w:kern w:val="0"/>
          <w:sz w:val="32"/>
          <w:szCs w:val="32"/>
        </w:rPr>
        <w:t>SZDB</w:t>
      </w:r>
      <w:r>
        <w:rPr>
          <w:rFonts w:ascii="仿宋_GB2312" w:hAnsi="宋体" w:eastAsia="仿宋_GB2312" w:cs="宋体"/>
          <w:kern w:val="0"/>
          <w:sz w:val="32"/>
          <w:szCs w:val="32"/>
        </w:rPr>
        <w:t>/</w:t>
      </w:r>
      <w:r>
        <w:rPr>
          <w:rFonts w:hint="eastAsia" w:ascii="仿宋_GB2312" w:hAnsi="宋体" w:eastAsia="仿宋_GB2312" w:cs="宋体"/>
          <w:kern w:val="0"/>
          <w:sz w:val="32"/>
          <w:szCs w:val="32"/>
        </w:rPr>
        <w:t>Z 256-2017</w:t>
      </w:r>
      <w:bookmarkEnd w:id="0"/>
      <w:bookmarkEnd w:id="1"/>
      <w:r>
        <w:rPr>
          <w:rFonts w:hint="eastAsia" w:ascii="仿宋_GB2312" w:hAnsi="宋体" w:eastAsia="仿宋_GB2312" w:cs="宋体"/>
          <w:kern w:val="0"/>
          <w:sz w:val="32"/>
          <w:szCs w:val="32"/>
        </w:rPr>
        <w:t>）的证明文件或相关证书复印件。</w:t>
      </w:r>
    </w:p>
    <w:p>
      <w:pPr>
        <w:widowControl/>
        <w:adjustRightInd w:val="0"/>
        <w:snapToGrid w:val="0"/>
        <w:spacing w:line="600" w:lineRule="exact"/>
        <w:ind w:firstLine="640" w:firstLineChars="200"/>
        <w:rPr>
          <w:rFonts w:ascii="仿宋_GB2312" w:hAnsi="宋体" w:eastAsia="仿宋_GB2312" w:cs="宋体"/>
          <w:kern w:val="0"/>
          <w:sz w:val="32"/>
          <w:szCs w:val="32"/>
        </w:rPr>
      </w:pPr>
      <w:r>
        <w:rPr>
          <w:rFonts w:hint="eastAsia" w:ascii="黑体" w:hAnsi="黑体" w:eastAsia="黑体" w:cs="宋体"/>
          <w:kern w:val="0"/>
          <w:sz w:val="32"/>
          <w:szCs w:val="32"/>
        </w:rPr>
        <w:t xml:space="preserve">第十条 </w:t>
      </w:r>
      <w:r>
        <w:rPr>
          <w:rFonts w:hint="eastAsia" w:ascii="仿宋_GB2312" w:hAnsi="宋体" w:eastAsia="仿宋_GB2312" w:cs="宋体"/>
          <w:kern w:val="0"/>
          <w:sz w:val="32"/>
          <w:szCs w:val="32"/>
        </w:rPr>
        <w:t>申报资金资助的餐饮服务单位根据本实施细则第九条第三项提供的证明规范建设“明厨亮灶”的图像资料，需满足以下条件：</w:t>
      </w:r>
    </w:p>
    <w:p>
      <w:pPr>
        <w:widowControl/>
        <w:adjustRightInd w:val="0"/>
        <w:snapToGrid w:val="0"/>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（一）符合《深圳市食品药品监督管理局关于餐饮单位“明厨亮灶”建设指引》的要求；</w:t>
      </w:r>
    </w:p>
    <w:p>
      <w:pPr>
        <w:widowControl/>
        <w:adjustRightInd w:val="0"/>
        <w:snapToGrid w:val="0"/>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（二）提供的图片应清晰，并注明所在区域的名称，体现出“明厨亮灶”的设置方式。</w:t>
      </w:r>
    </w:p>
    <w:p>
      <w:pPr>
        <w:widowControl/>
        <w:adjustRightInd w:val="0"/>
        <w:snapToGrid w:val="0"/>
        <w:spacing w:line="600" w:lineRule="exact"/>
        <w:ind w:firstLine="640" w:firstLineChars="200"/>
        <w:rPr>
          <w:rFonts w:ascii="仿宋_GB2312" w:hAnsi="宋体" w:eastAsia="仿宋_GB2312" w:cs="宋体"/>
          <w:kern w:val="0"/>
          <w:sz w:val="32"/>
          <w:szCs w:val="32"/>
        </w:rPr>
      </w:pPr>
      <w:r>
        <w:rPr>
          <w:rFonts w:hint="eastAsia" w:ascii="黑体" w:hAnsi="黑体" w:eastAsia="黑体" w:cs="宋体"/>
          <w:kern w:val="0"/>
          <w:sz w:val="32"/>
          <w:szCs w:val="32"/>
        </w:rPr>
        <w:t xml:space="preserve">第十一条 </w:t>
      </w:r>
      <w:r>
        <w:rPr>
          <w:rFonts w:hint="eastAsia" w:ascii="仿宋_GB2312" w:hAnsi="宋体" w:eastAsia="仿宋_GB2312" w:cs="宋体"/>
          <w:kern w:val="0"/>
          <w:sz w:val="32"/>
          <w:szCs w:val="32"/>
        </w:rPr>
        <w:t>除符合本实施细则第九条、第十条规定外，申报资金资助的餐饮服务单位提交以下证明材料的，可认定为具有优先资助的条件。申报资金资助的餐饮服务单位可自选提交的证明材料（均需加盖申报单位公章）如下：</w:t>
      </w:r>
    </w:p>
    <w:p>
      <w:pPr>
        <w:widowControl/>
        <w:adjustRightInd w:val="0"/>
        <w:snapToGrid w:val="0"/>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（一）通过《餐饮业食品安全管理规范》（深圳标准SZDB</w:t>
      </w:r>
      <w:r>
        <w:rPr>
          <w:rFonts w:ascii="仿宋_GB2312" w:hAnsi="宋体" w:eastAsia="仿宋_GB2312" w:cs="宋体"/>
          <w:kern w:val="0"/>
          <w:sz w:val="32"/>
          <w:szCs w:val="32"/>
        </w:rPr>
        <w:t>/</w:t>
      </w:r>
      <w:r>
        <w:rPr>
          <w:rFonts w:hint="eastAsia" w:ascii="仿宋_GB2312" w:hAnsi="宋体" w:eastAsia="仿宋_GB2312" w:cs="宋体"/>
          <w:kern w:val="0"/>
          <w:sz w:val="32"/>
          <w:szCs w:val="32"/>
        </w:rPr>
        <w:t>Z 256-2017）评审的文件或相关证书复印件；</w:t>
      </w:r>
    </w:p>
    <w:p>
      <w:pPr>
        <w:widowControl/>
        <w:adjustRightInd w:val="0"/>
        <w:snapToGrid w:val="0"/>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二）有效落实“五常法”、“6T”、HACCP、ISO22000等食品安全管理体系的相关认证证明材料或现场管理证明材料。其中，HACCP、ISO22000等的认证证书应当获得国家注册认可并且有效，“五常法”、“6T”等的评定证书应当获得评定单位的确认，其证明材料为相关证书复印件及认证或评定机构加盖公章的现场审核报告。应用“五常法”、“6T”等餐饮行业的管理体系但未取得评定证书的，可以递交现场管理图片或影像证明材料，以及有关落实的文件证明材料；</w:t>
      </w:r>
    </w:p>
    <w:p>
      <w:pPr>
        <w:widowControl/>
        <w:adjustRightInd w:val="0"/>
        <w:snapToGrid w:val="0"/>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（三）历年来经常承接我市重大活动饮食接待的相关证明材料，包括：近5年来市、区政府有关部门颁发的饮食接待证书、会议通知等证明材料；承办3次以上接待的有效证明，提供证书材料的，应提供其复印件；</w:t>
      </w:r>
    </w:p>
    <w:p>
      <w:pPr>
        <w:widowControl/>
        <w:adjustRightInd w:val="0"/>
        <w:snapToGrid w:val="0"/>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四）积极承担社会责任，开展其他由市食品安全主管部门认定的有益提升本单位食品安全创新提升，或带动本市餐饮行业食品安全规范提升的相关证明材料。如主动对社会开展食品安全宣传活动、自行举办或积极参与食品安全知识竞赛、本单位承办或配合主管部门开展“餐饮服务单位开放日”等公益活动、实施其他提升食品安全管理创新举措等事项的证明材料；</w:t>
      </w:r>
    </w:p>
    <w:p>
      <w:pPr>
        <w:widowControl/>
        <w:adjustRightInd w:val="0"/>
        <w:snapToGrid w:val="0"/>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（五）餐饮服务单位最大供餐</w:t>
      </w:r>
      <w:r>
        <w:rPr>
          <w:rFonts w:ascii="仿宋_GB2312" w:hAnsi="宋体" w:eastAsia="仿宋_GB2312" w:cs="宋体"/>
          <w:kern w:val="0"/>
          <w:sz w:val="32"/>
          <w:szCs w:val="32"/>
        </w:rPr>
        <w:t>人数</w:t>
      </w:r>
      <w:r>
        <w:rPr>
          <w:rFonts w:hint="eastAsia" w:ascii="仿宋_GB2312" w:hAnsi="宋体" w:eastAsia="仿宋_GB2312" w:cs="宋体"/>
          <w:kern w:val="0"/>
          <w:sz w:val="32"/>
          <w:szCs w:val="32"/>
        </w:rPr>
        <w:t>超过500人的相关证明材料。其中，餐饮服务许可证或食品经营许可证上载明最大供餐人数的，提供许可证即可；相关许可证上未载明有关信息的，提供餐饮服务单位注明尺寸的加工图纸和有关供餐人数的其他证明。</w:t>
      </w:r>
    </w:p>
    <w:p>
      <w:pPr>
        <w:widowControl/>
        <w:adjustRightInd w:val="0"/>
        <w:snapToGrid w:val="0"/>
        <w:spacing w:line="600" w:lineRule="exact"/>
        <w:ind w:firstLine="640" w:firstLineChars="200"/>
        <w:rPr>
          <w:rFonts w:ascii="仿宋_GB2312" w:hAnsi="宋体" w:eastAsia="仿宋_GB2312" w:cs="宋体"/>
          <w:kern w:val="0"/>
          <w:sz w:val="32"/>
          <w:szCs w:val="32"/>
        </w:rPr>
      </w:pPr>
      <w:r>
        <w:rPr>
          <w:rFonts w:hint="eastAsia" w:ascii="黑体" w:hAnsi="黑体" w:eastAsia="黑体" w:cs="宋体"/>
          <w:kern w:val="0"/>
          <w:sz w:val="32"/>
          <w:szCs w:val="32"/>
        </w:rPr>
        <w:t xml:space="preserve">第十二条 </w:t>
      </w:r>
      <w:r>
        <w:rPr>
          <w:rFonts w:hint="eastAsia" w:ascii="仿宋_GB2312" w:hAnsi="宋体" w:eastAsia="仿宋_GB2312" w:cs="宋体"/>
          <w:kern w:val="0"/>
          <w:sz w:val="32"/>
          <w:szCs w:val="32"/>
        </w:rPr>
        <w:t>申报资金资助的餐饮服务单位未提供本实施细则第十一条规定的证明材料或提供的材料不规范的，不得认定为具有优先资助条件并进行分数累加。</w:t>
      </w:r>
    </w:p>
    <w:p>
      <w:pPr>
        <w:widowControl/>
        <w:adjustRightInd w:val="0"/>
        <w:snapToGrid w:val="0"/>
        <w:spacing w:line="600" w:lineRule="exact"/>
        <w:jc w:val="center"/>
        <w:rPr>
          <w:rFonts w:ascii="黑体" w:hAnsi="黑体" w:eastAsia="黑体" w:cs="宋体"/>
          <w:kern w:val="0"/>
          <w:sz w:val="32"/>
          <w:szCs w:val="32"/>
        </w:rPr>
      </w:pPr>
      <w:r>
        <w:rPr>
          <w:rFonts w:hint="eastAsia" w:ascii="黑体" w:hAnsi="黑体" w:eastAsia="黑体" w:cs="宋体"/>
          <w:kern w:val="0"/>
          <w:sz w:val="32"/>
          <w:szCs w:val="32"/>
        </w:rPr>
        <w:t>第四章 资助额度和用途</w:t>
      </w:r>
    </w:p>
    <w:p>
      <w:pPr>
        <w:widowControl/>
        <w:adjustRightInd w:val="0"/>
        <w:snapToGrid w:val="0"/>
        <w:spacing w:line="600" w:lineRule="exact"/>
        <w:ind w:firstLine="640" w:firstLineChars="200"/>
        <w:rPr>
          <w:rFonts w:ascii="仿宋_GB2312" w:hAnsi="宋体" w:eastAsia="仿宋_GB2312" w:cs="宋体"/>
          <w:kern w:val="0"/>
          <w:sz w:val="32"/>
          <w:szCs w:val="32"/>
        </w:rPr>
      </w:pPr>
      <w:r>
        <w:rPr>
          <w:rFonts w:hint="eastAsia" w:ascii="黑体" w:hAnsi="黑体" w:eastAsia="黑体" w:cs="宋体"/>
          <w:kern w:val="0"/>
          <w:sz w:val="32"/>
          <w:szCs w:val="32"/>
        </w:rPr>
        <w:t xml:space="preserve">第十三条 </w:t>
      </w:r>
      <w:r>
        <w:rPr>
          <w:rFonts w:hint="eastAsia" w:ascii="仿宋_GB2312" w:hAnsi="宋体" w:eastAsia="仿宋_GB2312" w:cs="宋体"/>
          <w:kern w:val="0"/>
          <w:sz w:val="32"/>
          <w:szCs w:val="32"/>
        </w:rPr>
        <w:t>对符合资助条件的食品生产企业或</w:t>
      </w:r>
      <w:r>
        <w:rPr>
          <w:rFonts w:ascii="仿宋_GB2312" w:hAnsi="宋体" w:eastAsia="仿宋_GB2312" w:cs="宋体"/>
          <w:kern w:val="0"/>
          <w:sz w:val="32"/>
          <w:szCs w:val="32"/>
        </w:rPr>
        <w:t>餐饮服务单位</w:t>
      </w:r>
      <w:r>
        <w:rPr>
          <w:rFonts w:hint="eastAsia" w:ascii="仿宋_GB2312" w:hAnsi="宋体" w:eastAsia="仿宋_GB2312" w:cs="宋体"/>
          <w:kern w:val="0"/>
          <w:sz w:val="32"/>
          <w:szCs w:val="32"/>
        </w:rPr>
        <w:t>，分别根据本年度资金总额度及资助单位数量确定资助额度并实行等额分配。每家资助额度为3万到10万元。</w:t>
      </w:r>
    </w:p>
    <w:p>
      <w:pPr>
        <w:widowControl/>
        <w:adjustRightInd w:val="0"/>
        <w:snapToGrid w:val="0"/>
        <w:spacing w:line="600" w:lineRule="exact"/>
        <w:ind w:firstLine="640" w:firstLineChars="200"/>
        <w:rPr>
          <w:rFonts w:ascii="仿宋_GB2312" w:hAnsi="宋体" w:eastAsia="仿宋_GB2312" w:cs="宋体"/>
          <w:kern w:val="0"/>
          <w:sz w:val="32"/>
          <w:szCs w:val="32"/>
        </w:rPr>
      </w:pPr>
      <w:r>
        <w:rPr>
          <w:rFonts w:hint="eastAsia" w:ascii="黑体" w:hAnsi="黑体" w:eastAsia="黑体" w:cs="宋体"/>
          <w:kern w:val="0"/>
          <w:sz w:val="32"/>
          <w:szCs w:val="32"/>
        </w:rPr>
        <w:t xml:space="preserve">第十四条 </w:t>
      </w:r>
      <w:r>
        <w:rPr>
          <w:rFonts w:hint="eastAsia" w:ascii="仿宋_GB2312" w:hAnsi="宋体" w:eastAsia="仿宋_GB2312" w:cs="宋体"/>
          <w:kern w:val="0"/>
          <w:sz w:val="32"/>
          <w:szCs w:val="32"/>
        </w:rPr>
        <w:t>获得资助的单位应当将其资助费用用于食品安全管理人员、从业人员的培训、考核、调研等有助于激励相关人员提升专业化能力的项目，或食品加工经营场所硬件设备改进等有助于提升食品安全水平的项目。</w:t>
      </w:r>
    </w:p>
    <w:p>
      <w:pPr>
        <w:widowControl/>
        <w:adjustRightInd w:val="0"/>
        <w:snapToGrid w:val="0"/>
        <w:spacing w:line="600" w:lineRule="exact"/>
        <w:jc w:val="center"/>
        <w:rPr>
          <w:rFonts w:ascii="黑体" w:hAnsi="黑体" w:eastAsia="黑体" w:cs="宋体"/>
          <w:kern w:val="0"/>
          <w:sz w:val="32"/>
          <w:szCs w:val="32"/>
        </w:rPr>
      </w:pPr>
      <w:r>
        <w:rPr>
          <w:rFonts w:hint="eastAsia" w:ascii="黑体" w:hAnsi="黑体" w:eastAsia="黑体" w:cs="宋体"/>
          <w:kern w:val="0"/>
          <w:sz w:val="32"/>
          <w:szCs w:val="32"/>
        </w:rPr>
        <w:t>第五章 附 则</w:t>
      </w:r>
    </w:p>
    <w:p>
      <w:pPr>
        <w:widowControl/>
        <w:adjustRightInd w:val="0"/>
        <w:snapToGrid w:val="0"/>
        <w:spacing w:line="600" w:lineRule="exact"/>
        <w:ind w:firstLine="640" w:firstLineChars="200"/>
        <w:rPr>
          <w:rFonts w:ascii="仿宋_GB2312" w:hAnsi="宋体" w:eastAsia="仿宋_GB2312" w:cs="宋体"/>
          <w:kern w:val="0"/>
          <w:sz w:val="32"/>
          <w:szCs w:val="32"/>
        </w:rPr>
      </w:pPr>
      <w:r>
        <w:rPr>
          <w:rFonts w:hint="eastAsia" w:ascii="黑体" w:hAnsi="黑体" w:eastAsia="黑体" w:cs="宋体"/>
          <w:kern w:val="0"/>
          <w:sz w:val="32"/>
          <w:szCs w:val="32"/>
        </w:rPr>
        <w:t xml:space="preserve">第十五条 </w:t>
      </w:r>
      <w:r>
        <w:rPr>
          <w:rFonts w:hint="eastAsia" w:ascii="仿宋_GB2312" w:hAnsi="宋体" w:eastAsia="仿宋_GB2312" w:cs="宋体"/>
          <w:kern w:val="0"/>
          <w:sz w:val="32"/>
          <w:szCs w:val="32"/>
        </w:rPr>
        <w:t>本实施细则由深圳市市场和质量监督管理委员会负责解释。</w:t>
      </w:r>
    </w:p>
    <w:p>
      <w:pPr>
        <w:ind w:firstLine="640" w:firstLineChars="200"/>
      </w:pPr>
      <w:r>
        <w:rPr>
          <w:rFonts w:hint="eastAsia" w:ascii="黑体" w:hAnsi="黑体" w:eastAsia="黑体" w:cs="宋体"/>
          <w:kern w:val="0"/>
          <w:sz w:val="32"/>
          <w:szCs w:val="32"/>
        </w:rPr>
        <w:t xml:space="preserve">第十六条 </w:t>
      </w:r>
      <w:r>
        <w:rPr>
          <w:rFonts w:hint="eastAsia" w:ascii="仿宋_GB2312" w:hAnsi="宋体" w:eastAsia="仿宋_GB2312" w:cs="宋体"/>
          <w:kern w:val="0"/>
          <w:sz w:val="32"/>
          <w:szCs w:val="32"/>
        </w:rPr>
        <w:t>本实施细则自发布之日起十日之后实施，有效期至2018年12月31日止。</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removePersonalInformation/>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428"/>
    <w:rsid w:val="00003D74"/>
    <w:rsid w:val="00015D03"/>
    <w:rsid w:val="00041B39"/>
    <w:rsid w:val="00052FB0"/>
    <w:rsid w:val="00077D05"/>
    <w:rsid w:val="000812C8"/>
    <w:rsid w:val="000A6A05"/>
    <w:rsid w:val="000C1007"/>
    <w:rsid w:val="000D4640"/>
    <w:rsid w:val="000F5AB7"/>
    <w:rsid w:val="000F7960"/>
    <w:rsid w:val="001110EC"/>
    <w:rsid w:val="0011350F"/>
    <w:rsid w:val="0019123B"/>
    <w:rsid w:val="001F2262"/>
    <w:rsid w:val="00204552"/>
    <w:rsid w:val="00217AAE"/>
    <w:rsid w:val="00253ED7"/>
    <w:rsid w:val="00255084"/>
    <w:rsid w:val="002578A9"/>
    <w:rsid w:val="002B3E0F"/>
    <w:rsid w:val="002C31C8"/>
    <w:rsid w:val="00317002"/>
    <w:rsid w:val="00327369"/>
    <w:rsid w:val="003612DF"/>
    <w:rsid w:val="00381593"/>
    <w:rsid w:val="003825E6"/>
    <w:rsid w:val="00397428"/>
    <w:rsid w:val="003A104F"/>
    <w:rsid w:val="003A34E6"/>
    <w:rsid w:val="003C4FEA"/>
    <w:rsid w:val="003D10B7"/>
    <w:rsid w:val="003D5CAB"/>
    <w:rsid w:val="003F1F16"/>
    <w:rsid w:val="00405EA3"/>
    <w:rsid w:val="004140A2"/>
    <w:rsid w:val="00417274"/>
    <w:rsid w:val="004513AB"/>
    <w:rsid w:val="00455968"/>
    <w:rsid w:val="0046203B"/>
    <w:rsid w:val="004663A4"/>
    <w:rsid w:val="004A48F5"/>
    <w:rsid w:val="004C7693"/>
    <w:rsid w:val="005022CF"/>
    <w:rsid w:val="005049D4"/>
    <w:rsid w:val="00531BCE"/>
    <w:rsid w:val="00560D31"/>
    <w:rsid w:val="0056413E"/>
    <w:rsid w:val="005A27D3"/>
    <w:rsid w:val="005A4978"/>
    <w:rsid w:val="005B7B52"/>
    <w:rsid w:val="005C4153"/>
    <w:rsid w:val="005C5FF5"/>
    <w:rsid w:val="005F1096"/>
    <w:rsid w:val="005F2336"/>
    <w:rsid w:val="006231C0"/>
    <w:rsid w:val="006410E5"/>
    <w:rsid w:val="00680482"/>
    <w:rsid w:val="00682AF2"/>
    <w:rsid w:val="00693B17"/>
    <w:rsid w:val="006A3468"/>
    <w:rsid w:val="006E46A5"/>
    <w:rsid w:val="006E523B"/>
    <w:rsid w:val="00722EE0"/>
    <w:rsid w:val="00747DC4"/>
    <w:rsid w:val="007811BE"/>
    <w:rsid w:val="00796A61"/>
    <w:rsid w:val="007B78CE"/>
    <w:rsid w:val="007C61DD"/>
    <w:rsid w:val="00841EE5"/>
    <w:rsid w:val="0088085E"/>
    <w:rsid w:val="00881D4E"/>
    <w:rsid w:val="00891A06"/>
    <w:rsid w:val="008A3B42"/>
    <w:rsid w:val="008C357A"/>
    <w:rsid w:val="008D3EB9"/>
    <w:rsid w:val="008D75D4"/>
    <w:rsid w:val="008F152D"/>
    <w:rsid w:val="00916F89"/>
    <w:rsid w:val="009633CA"/>
    <w:rsid w:val="009B3A8F"/>
    <w:rsid w:val="00A10D7D"/>
    <w:rsid w:val="00A30922"/>
    <w:rsid w:val="00A51A26"/>
    <w:rsid w:val="00A7184C"/>
    <w:rsid w:val="00A77234"/>
    <w:rsid w:val="00A94024"/>
    <w:rsid w:val="00AC0A87"/>
    <w:rsid w:val="00AC30B0"/>
    <w:rsid w:val="00AC5E0F"/>
    <w:rsid w:val="00AD09C7"/>
    <w:rsid w:val="00AE011D"/>
    <w:rsid w:val="00AE53E4"/>
    <w:rsid w:val="00AF3544"/>
    <w:rsid w:val="00B34CD1"/>
    <w:rsid w:val="00B37731"/>
    <w:rsid w:val="00BB3055"/>
    <w:rsid w:val="00BD6C02"/>
    <w:rsid w:val="00BE63E5"/>
    <w:rsid w:val="00C15991"/>
    <w:rsid w:val="00C23988"/>
    <w:rsid w:val="00C245C4"/>
    <w:rsid w:val="00C43D7D"/>
    <w:rsid w:val="00C5286C"/>
    <w:rsid w:val="00C8198E"/>
    <w:rsid w:val="00CD6EBE"/>
    <w:rsid w:val="00CE4F84"/>
    <w:rsid w:val="00D06B22"/>
    <w:rsid w:val="00D26F2D"/>
    <w:rsid w:val="00D35784"/>
    <w:rsid w:val="00D539BB"/>
    <w:rsid w:val="00D67B59"/>
    <w:rsid w:val="00D74258"/>
    <w:rsid w:val="00D97D79"/>
    <w:rsid w:val="00DB2E71"/>
    <w:rsid w:val="00DB31B4"/>
    <w:rsid w:val="00DD02C4"/>
    <w:rsid w:val="00E66A06"/>
    <w:rsid w:val="00E81B8C"/>
    <w:rsid w:val="00EE201E"/>
    <w:rsid w:val="1C961303"/>
    <w:rsid w:val="3B4E253B"/>
    <w:rsid w:val="4C717594"/>
    <w:rsid w:val="5F017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2"/>
    <w:semiHidden/>
    <w:unhideWhenUsed/>
    <w:qFormat/>
    <w:uiPriority w:val="99"/>
    <w:rPr>
      <w:b/>
      <w:bCs/>
    </w:rPr>
  </w:style>
  <w:style w:type="paragraph" w:styleId="3">
    <w:name w:val="annotation text"/>
    <w:basedOn w:val="1"/>
    <w:link w:val="11"/>
    <w:semiHidden/>
    <w:unhideWhenUsed/>
    <w:uiPriority w:val="99"/>
    <w:pPr>
      <w:jc w:val="left"/>
    </w:pPr>
  </w:style>
  <w:style w:type="paragraph" w:styleId="4">
    <w:name w:val="Balloon Text"/>
    <w:basedOn w:val="1"/>
    <w:link w:val="10"/>
    <w:semiHidden/>
    <w:unhideWhenUsed/>
    <w:uiPriority w:val="99"/>
    <w:rPr>
      <w:rFonts w:ascii="宋体"/>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unhideWhenUsed/>
    <w:qFormat/>
    <w:uiPriority w:val="99"/>
    <w:rPr>
      <w:sz w:val="21"/>
      <w:szCs w:val="21"/>
    </w:rPr>
  </w:style>
  <w:style w:type="character" w:customStyle="1" w:styleId="10">
    <w:name w:val="批注框文本 Char"/>
    <w:basedOn w:val="7"/>
    <w:link w:val="4"/>
    <w:semiHidden/>
    <w:qFormat/>
    <w:uiPriority w:val="99"/>
    <w:rPr>
      <w:rFonts w:ascii="宋体" w:hAnsi="Calibri" w:eastAsia="宋体" w:cs="Times New Roman"/>
      <w:sz w:val="18"/>
      <w:szCs w:val="18"/>
    </w:rPr>
  </w:style>
  <w:style w:type="character" w:customStyle="1" w:styleId="11">
    <w:name w:val="批注文字 Char"/>
    <w:basedOn w:val="7"/>
    <w:link w:val="3"/>
    <w:semiHidden/>
    <w:qFormat/>
    <w:uiPriority w:val="99"/>
    <w:rPr>
      <w:rFonts w:ascii="Calibri" w:hAnsi="Calibri" w:eastAsia="宋体" w:cs="Times New Roman"/>
      <w:szCs w:val="24"/>
    </w:rPr>
  </w:style>
  <w:style w:type="character" w:customStyle="1" w:styleId="12">
    <w:name w:val="批注主题 Char"/>
    <w:basedOn w:val="11"/>
    <w:link w:val="2"/>
    <w:semiHidden/>
    <w:qFormat/>
    <w:uiPriority w:val="99"/>
    <w:rPr>
      <w:rFonts w:ascii="Calibri" w:hAnsi="Calibri" w:eastAsia="宋体" w:cs="Times New Roman"/>
      <w:b/>
      <w:bCs/>
      <w:szCs w:val="24"/>
    </w:rPr>
  </w:style>
  <w:style w:type="paragraph" w:styleId="13">
    <w:name w:val="List Paragraph"/>
    <w:basedOn w:val="1"/>
    <w:qFormat/>
    <w:uiPriority w:val="34"/>
    <w:pPr>
      <w:ind w:firstLine="420" w:firstLineChars="200"/>
    </w:pPr>
  </w:style>
  <w:style w:type="character" w:customStyle="1" w:styleId="14">
    <w:name w:val="页眉 Char"/>
    <w:basedOn w:val="7"/>
    <w:link w:val="6"/>
    <w:qFormat/>
    <w:uiPriority w:val="99"/>
    <w:rPr>
      <w:rFonts w:ascii="Calibri" w:hAnsi="Calibri" w:eastAsia="宋体" w:cs="Times New Roman"/>
      <w:sz w:val="18"/>
      <w:szCs w:val="18"/>
    </w:rPr>
  </w:style>
  <w:style w:type="character" w:customStyle="1" w:styleId="15">
    <w:name w:val="页脚 Char"/>
    <w:basedOn w:val="7"/>
    <w:link w:val="5"/>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8C0670-82AB-4FA2-BF58-1D924ADF1EBA}">
  <ds:schemaRefs/>
</ds:datastoreItem>
</file>

<file path=docProps/app.xml><?xml version="1.0" encoding="utf-8"?>
<Properties xmlns="http://schemas.openxmlformats.org/officeDocument/2006/extended-properties" xmlns:vt="http://schemas.openxmlformats.org/officeDocument/2006/docPropsVTypes">
  <Template>Normal</Template>
  <Pages>6</Pages>
  <Words>425</Words>
  <Characters>2424</Characters>
  <Lines>20</Lines>
  <Paragraphs>5</Paragraphs>
  <TotalTime>0</TotalTime>
  <ScaleCrop>false</ScaleCrop>
  <LinksUpToDate>false</LinksUpToDate>
  <CharactersWithSpaces>2844</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2018-06-14T09:06:00Z</dcterms:created>
  <dcterms:modified xsi:type="dcterms:W3CDTF">2018-06-21T03:17:22Z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