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微软雅黑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不再实施强制性产品认证管理的产品清单</w:t>
      </w:r>
    </w:p>
    <w:p>
      <w:pPr>
        <w:spacing w:line="580" w:lineRule="exact"/>
        <w:rPr>
          <w:rFonts w:hint="eastAsia" w:ascii="方正小标宋简体" w:hAnsi="微软雅黑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355"/>
        <w:gridCol w:w="1505"/>
        <w:gridCol w:w="1778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产品类别代码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对应CCC认证目录类别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ˎ̥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涉及CCC认证实施规则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不易燃液体电喷枪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0507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电剪刀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0508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攻丝机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0509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电链锯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0512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电刨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0513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电动修枝剪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0514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电动工具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CNCA-C05-01：2014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电动工具》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显像（示）管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CNCA-C08-01：2014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天线放大器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0814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CNCA-C08-01：2014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音视频设备》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电脑游戏机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0908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信息技术设备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CNCA-C09-01：2014 《强制性产品认证实施规则 信息技术设备》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0909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信息技术设备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CNCA-C09-01：2014 《强制性产品认证实施规则 信息技术设备》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摩托车发动机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CNCA-C11-03：2014 《强制性产品认证实施规则 摩托车发动机》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机动车喇叭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CNCA-C11-05：2014 《强制性产品认证实施规则 机动车喇叭》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机动车制动软管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CNCA-C11-06：2014 《强制性产品认证实施规则 机动车制动软管》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汽车燃油箱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机动车辆及安全附件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CNCA-C11-11：2014 《强制性产品认证实施规则 汽车燃油箱》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调制解调器（含卡）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电信终端设备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CNCA-C16-01：2014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电信终端设备》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ISDN终端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电信终端设备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CNCA-C16-01：2014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电信终端设备》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汽车防盗报警系统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安全防范产品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CNCA-C19-01：2014 《强制性产品认证实施规则 防盗报警产品》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无线局域网产品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2001~2006、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2011~2043、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2090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无线局域网产品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CNCA-C20-01：2007 </w:t>
            </w:r>
            <w:r>
              <w:fldChar w:fldCharType="begin"/>
            </w:r>
            <w:r>
              <w:instrText xml:space="preserve"> HYPERLINK "http://www.isccc.gov.cn/zxyw/cprz/qzxcprz/cccrzfw/wxjywcp/ssgz/images/2009/02/02/7B13B5D364CC0C6C615E46A77F6097B0.doc" </w:instrText>
            </w:r>
            <w:r>
              <w:fldChar w:fldCharType="separate"/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无线局域网产品》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混凝土防冻剂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2103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装饰装修产品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CNCA-C21-01：2014 《强制性产品认证实施规则 装饰装修产品》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插头插座（工业用）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电路开关及保护或连接用电器装置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CNCA-C02-01：2014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电路开关及保护或连接用电器装置（电气附件）》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器具耦合器（工业用）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0203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电路开关及保护或连接用电器装置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CNCA-C02-01：2014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电路开关及保护或连接用电器装置（电气附件）》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建筑工地用成套设备（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ACS）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低压电器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CNCA-C03-01：2014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低压成套开关设备》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公用电网动力配电成套设备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低压电器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CNCA-C03-01：2014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《强制性产品认证实施规则</w:t>
            </w:r>
            <w:r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低压成套开关设备》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可燃气体报警产品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消防产品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CNCA-C18-01：2014 《强制性产品认证实施规则 火灾报警产品》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电气火灾监控系统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消防产品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CNCA-C18-01：2014 《强制性产品认证实施规则火灾报警产品》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气溶胶灭火装置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消防产品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ˎ̥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CNCA-C18-03：2014 《强制性产品认证实施规则 灭火设备产品》</w:t>
            </w:r>
          </w:p>
        </w:tc>
      </w:tr>
    </w:tbl>
    <w:p>
      <w:pPr>
        <w:spacing w:line="340" w:lineRule="exact"/>
        <w:ind w:firstLine="420" w:firstLineChars="200"/>
        <w:jc w:val="left"/>
        <w:rPr>
          <w:rFonts w:ascii="方正仿宋简体" w:hAnsi="仿宋" w:eastAsia="方正仿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注：未标注序号的产品在CCC产品目录中属于1种产品下的部分产品。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A7CD9"/>
    <w:rsid w:val="21765206"/>
    <w:rsid w:val="29C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2018-06-15T03:03:00Z</dcterms:created>
  <dc:creator>user</dc:creator>
  <cp:lastModifiedBy>SiouxsieTRexDMC*JesusMaryChain</cp:lastModifiedBy>
  <dcterms:modified xsi:type="dcterms:W3CDTF">2018-06-21T01:30:47Z</dcterms:modified>
  <dc:title>附件1不再实施强制性产品认证管理的产品清单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