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40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FSMA相关法规合规要求及合规日期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一、《人类食品现行良好操作规范，危害分析及基于风险的预防性控制措施》（</w:t>
      </w:r>
      <w:r>
        <w:rPr>
          <w:rFonts w:ascii="黑体" w:hAnsi="黑体" w:eastAsia="黑体"/>
          <w:sz w:val="32"/>
          <w:szCs w:val="32"/>
        </w:rPr>
        <w:t>21 CFR Part 117</w:t>
      </w:r>
      <w:r>
        <w:rPr>
          <w:rFonts w:hint="eastAsia" w:ascii="黑体" w:hAnsi="黑体" w:eastAsia="黑体"/>
          <w:sz w:val="32"/>
          <w:szCs w:val="32"/>
        </w:rPr>
        <w:t>，简称</w:t>
      </w:r>
      <w:r>
        <w:rPr>
          <w:rFonts w:ascii="黑体" w:hAnsi="黑体" w:eastAsia="黑体"/>
          <w:sz w:val="32"/>
          <w:szCs w:val="32"/>
        </w:rPr>
        <w:t>117</w:t>
      </w:r>
      <w:r>
        <w:rPr>
          <w:rFonts w:hint="eastAsia" w:ascii="黑体" w:hAnsi="黑体" w:eastAsia="黑体"/>
          <w:sz w:val="32"/>
          <w:szCs w:val="32"/>
        </w:rPr>
        <w:t>法规）</w:t>
      </w:r>
    </w:p>
    <w:p>
      <w:pPr>
        <w:spacing w:line="54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输美人类食品企业需由具备预防性控制措施资质的人员（</w:t>
      </w:r>
      <w:r>
        <w:rPr>
          <w:rFonts w:ascii="方正仿宋简体" w:eastAsia="方正仿宋简体"/>
          <w:sz w:val="32"/>
          <w:szCs w:val="32"/>
        </w:rPr>
        <w:t>PCQI</w:t>
      </w:r>
      <w:r>
        <w:rPr>
          <w:rFonts w:hint="eastAsia" w:ascii="方正仿宋简体" w:eastAsia="方正仿宋简体"/>
          <w:sz w:val="32"/>
          <w:szCs w:val="32"/>
        </w:rPr>
        <w:t>，建议通过参加</w:t>
      </w:r>
      <w:r>
        <w:rPr>
          <w:rFonts w:ascii="方正仿宋简体" w:eastAsia="方正仿宋简体"/>
          <w:sz w:val="32"/>
          <w:szCs w:val="32"/>
        </w:rPr>
        <w:t>FSPCA</w:t>
      </w:r>
      <w:r>
        <w:rPr>
          <w:rFonts w:hint="eastAsia" w:ascii="方正仿宋简体" w:eastAsia="方正仿宋简体"/>
          <w:sz w:val="32"/>
          <w:szCs w:val="32"/>
        </w:rPr>
        <w:t>标准课程培训取得该资质）或在其监督之下建立并实施预防性食品安全体系。本法规适用于所有由</w:t>
      </w:r>
      <w:r>
        <w:rPr>
          <w:rFonts w:ascii="方正仿宋简体" w:eastAsia="方正仿宋简体"/>
          <w:sz w:val="32"/>
          <w:szCs w:val="32"/>
        </w:rPr>
        <w:t>FDA</w:t>
      </w:r>
      <w:r>
        <w:rPr>
          <w:rFonts w:hint="eastAsia" w:ascii="方正仿宋简体" w:eastAsia="方正仿宋简体"/>
          <w:sz w:val="32"/>
          <w:szCs w:val="32"/>
        </w:rPr>
        <w:t>监管并在美国境内销售的食品生产、加工、包装或储存企业，已符合相关法规的水产品、果蔬汁、低酸罐装食品和膳食补充剂企业可豁免本法规部分要求。对于总人数（包括附属和联营企业）多于</w:t>
      </w:r>
      <w:r>
        <w:rPr>
          <w:rFonts w:ascii="方正仿宋简体" w:eastAsia="方正仿宋简体"/>
          <w:sz w:val="32"/>
          <w:szCs w:val="32"/>
        </w:rPr>
        <w:t>500</w:t>
      </w:r>
      <w:r>
        <w:rPr>
          <w:rFonts w:hint="eastAsia" w:ascii="方正仿宋简体" w:eastAsia="方正仿宋简体"/>
          <w:sz w:val="32"/>
          <w:szCs w:val="32"/>
        </w:rPr>
        <w:t>的企业，合规期为</w:t>
      </w:r>
      <w:r>
        <w:rPr>
          <w:rFonts w:ascii="方正仿宋简体" w:eastAsia="方正仿宋简体"/>
          <w:sz w:val="32"/>
          <w:szCs w:val="32"/>
        </w:rPr>
        <w:t>2016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ascii="方正仿宋简体" w:eastAsia="方正仿宋简体"/>
          <w:sz w:val="32"/>
          <w:szCs w:val="32"/>
        </w:rPr>
        <w:t>9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ascii="方正仿宋简体" w:eastAsia="方正仿宋简体"/>
          <w:sz w:val="32"/>
          <w:szCs w:val="32"/>
        </w:rPr>
        <w:t>19</w:t>
      </w:r>
      <w:r>
        <w:rPr>
          <w:rFonts w:hint="eastAsia" w:ascii="方正仿宋简体" w:eastAsia="方正仿宋简体"/>
          <w:sz w:val="32"/>
          <w:szCs w:val="32"/>
        </w:rPr>
        <w:t>日；总人数在</w:t>
      </w:r>
      <w:r>
        <w:rPr>
          <w:rFonts w:ascii="方正仿宋简体" w:eastAsia="方正仿宋简体"/>
          <w:sz w:val="32"/>
          <w:szCs w:val="32"/>
        </w:rPr>
        <w:t>500</w:t>
      </w:r>
      <w:r>
        <w:rPr>
          <w:rFonts w:hint="eastAsia" w:ascii="方正仿宋简体" w:eastAsia="方正仿宋简体"/>
          <w:sz w:val="32"/>
          <w:szCs w:val="32"/>
        </w:rPr>
        <w:t>以下的小型企业，合规期为</w:t>
      </w:r>
      <w:r>
        <w:rPr>
          <w:rFonts w:ascii="方正仿宋简体" w:eastAsia="方正仿宋简体"/>
          <w:sz w:val="32"/>
          <w:szCs w:val="32"/>
        </w:rPr>
        <w:t>2017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ascii="方正仿宋简体" w:eastAsia="方正仿宋简体"/>
          <w:sz w:val="32"/>
          <w:szCs w:val="32"/>
        </w:rPr>
        <w:t>9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ascii="方正仿宋简体" w:eastAsia="方正仿宋简体"/>
          <w:sz w:val="32"/>
          <w:szCs w:val="32"/>
        </w:rPr>
        <w:t>18</w:t>
      </w:r>
      <w:r>
        <w:rPr>
          <w:rFonts w:hint="eastAsia" w:ascii="方正仿宋简体" w:eastAsia="方正仿宋简体"/>
          <w:sz w:val="32"/>
          <w:szCs w:val="32"/>
        </w:rPr>
        <w:t>日；极小型（年销售额在</w:t>
      </w:r>
      <w:r>
        <w:rPr>
          <w:rFonts w:ascii="方正仿宋简体" w:eastAsia="方正仿宋简体"/>
          <w:sz w:val="32"/>
          <w:szCs w:val="32"/>
        </w:rPr>
        <w:t>100</w:t>
      </w:r>
      <w:r>
        <w:rPr>
          <w:rFonts w:hint="eastAsia" w:ascii="方正仿宋简体" w:eastAsia="方正仿宋简体"/>
          <w:sz w:val="32"/>
          <w:szCs w:val="32"/>
        </w:rPr>
        <w:t>万美金以下）企业，合规期为</w:t>
      </w:r>
      <w:r>
        <w:rPr>
          <w:rFonts w:ascii="方正仿宋简体" w:eastAsia="方正仿宋简体"/>
          <w:sz w:val="32"/>
          <w:szCs w:val="32"/>
        </w:rPr>
        <w:t>2018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ascii="方正仿宋简体" w:eastAsia="方正仿宋简体"/>
          <w:sz w:val="32"/>
          <w:szCs w:val="32"/>
        </w:rPr>
        <w:t>9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ascii="方正仿宋简体" w:eastAsia="方正仿宋简体"/>
          <w:sz w:val="32"/>
          <w:szCs w:val="32"/>
        </w:rPr>
        <w:t>17</w:t>
      </w:r>
      <w:r>
        <w:rPr>
          <w:rFonts w:hint="eastAsia" w:ascii="方正仿宋简体" w:eastAsia="方正仿宋简体"/>
          <w:sz w:val="32"/>
          <w:szCs w:val="32"/>
        </w:rPr>
        <w:t>日。</w:t>
      </w:r>
      <w:r>
        <w:rPr>
          <w:rFonts w:hint="eastAsia" w:ascii="方正仿宋简体" w:eastAsia="方正仿宋简体"/>
          <w:b/>
          <w:sz w:val="32"/>
          <w:szCs w:val="32"/>
          <w:u w:val="single"/>
        </w:rPr>
        <w:t>所有输美人类食品企业，须已经或最晚在</w:t>
      </w:r>
      <w:r>
        <w:rPr>
          <w:rFonts w:ascii="方正仿宋简体" w:eastAsia="方正仿宋简体"/>
          <w:b/>
          <w:sz w:val="32"/>
          <w:szCs w:val="32"/>
          <w:u w:val="single"/>
        </w:rPr>
        <w:t>2018</w:t>
      </w:r>
      <w:r>
        <w:rPr>
          <w:rFonts w:hint="eastAsia" w:ascii="方正仿宋简体" w:eastAsia="方正仿宋简体"/>
          <w:b/>
          <w:sz w:val="32"/>
          <w:szCs w:val="32"/>
          <w:u w:val="single"/>
        </w:rPr>
        <w:t>年</w:t>
      </w:r>
      <w:r>
        <w:rPr>
          <w:rFonts w:ascii="方正仿宋简体" w:eastAsia="方正仿宋简体"/>
          <w:b/>
          <w:sz w:val="32"/>
          <w:szCs w:val="32"/>
          <w:u w:val="single"/>
        </w:rPr>
        <w:t>9</w:t>
      </w:r>
      <w:r>
        <w:rPr>
          <w:rFonts w:hint="eastAsia" w:ascii="方正仿宋简体" w:eastAsia="方正仿宋简体"/>
          <w:b/>
          <w:sz w:val="32"/>
          <w:szCs w:val="32"/>
          <w:u w:val="single"/>
        </w:rPr>
        <w:t>月</w:t>
      </w:r>
      <w:r>
        <w:rPr>
          <w:rFonts w:ascii="方正仿宋简体" w:eastAsia="方正仿宋简体"/>
          <w:b/>
          <w:sz w:val="32"/>
          <w:szCs w:val="32"/>
          <w:u w:val="single"/>
        </w:rPr>
        <w:t>17</w:t>
      </w:r>
      <w:r>
        <w:rPr>
          <w:rFonts w:hint="eastAsia" w:ascii="方正仿宋简体" w:eastAsia="方正仿宋简体"/>
          <w:b/>
          <w:sz w:val="32"/>
          <w:szCs w:val="32"/>
          <w:u w:val="single"/>
        </w:rPr>
        <w:t>日前符合</w:t>
      </w:r>
      <w:r>
        <w:rPr>
          <w:rFonts w:ascii="方正仿宋简体" w:eastAsia="方正仿宋简体"/>
          <w:b/>
          <w:sz w:val="32"/>
          <w:szCs w:val="32"/>
          <w:u w:val="single"/>
        </w:rPr>
        <w:t>117</w:t>
      </w:r>
      <w:r>
        <w:rPr>
          <w:rFonts w:hint="eastAsia" w:ascii="方正仿宋简体" w:eastAsia="方正仿宋简体"/>
          <w:b/>
          <w:sz w:val="32"/>
          <w:szCs w:val="32"/>
          <w:u w:val="single"/>
        </w:rPr>
        <w:t>法规。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二、输美食品企业反恐注册</w:t>
      </w:r>
    </w:p>
    <w:p>
      <w:pPr>
        <w:spacing w:line="54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根据法规要求，输美企业从</w:t>
      </w:r>
      <w:r>
        <w:rPr>
          <w:rFonts w:ascii="方正仿宋简体" w:eastAsia="方正仿宋简体"/>
          <w:sz w:val="32"/>
          <w:szCs w:val="32"/>
        </w:rPr>
        <w:t>2012</w:t>
      </w:r>
      <w:r>
        <w:rPr>
          <w:rFonts w:hint="eastAsia" w:ascii="方正仿宋简体" w:eastAsia="方正仿宋简体"/>
          <w:sz w:val="32"/>
          <w:szCs w:val="32"/>
        </w:rPr>
        <w:t>年起须在偶数年第四季度进行更新注册，今年是偶数年，企业须在今年</w:t>
      </w:r>
      <w:r>
        <w:rPr>
          <w:rFonts w:ascii="方正仿宋简体" w:eastAsia="方正仿宋简体"/>
          <w:sz w:val="32"/>
          <w:szCs w:val="32"/>
        </w:rPr>
        <w:t>10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ascii="方正仿宋简体" w:eastAsia="方正仿宋简体"/>
          <w:sz w:val="32"/>
          <w:szCs w:val="32"/>
        </w:rPr>
        <w:t>1</w:t>
      </w:r>
      <w:r>
        <w:rPr>
          <w:rFonts w:hint="eastAsia" w:ascii="方正仿宋简体" w:eastAsia="方正仿宋简体"/>
          <w:sz w:val="32"/>
          <w:szCs w:val="32"/>
        </w:rPr>
        <w:t>日至</w:t>
      </w:r>
      <w:r>
        <w:rPr>
          <w:rFonts w:ascii="方正仿宋简体" w:eastAsia="方正仿宋简体"/>
          <w:sz w:val="32"/>
          <w:szCs w:val="32"/>
        </w:rPr>
        <w:t>12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ascii="方正仿宋简体" w:eastAsia="方正仿宋简体"/>
          <w:sz w:val="32"/>
          <w:szCs w:val="32"/>
        </w:rPr>
        <w:t>31</w:t>
      </w:r>
      <w:r>
        <w:rPr>
          <w:rFonts w:hint="eastAsia" w:ascii="方正仿宋简体" w:eastAsia="方正仿宋简体"/>
          <w:sz w:val="32"/>
          <w:szCs w:val="32"/>
        </w:rPr>
        <w:t>日期间，提交注册更新材料。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三、《用于人类消费的农产品种植、收获、包装和贮存标准》（</w:t>
      </w:r>
      <w:r>
        <w:rPr>
          <w:rFonts w:ascii="黑体" w:hAnsi="黑体" w:eastAsia="黑体"/>
          <w:sz w:val="32"/>
          <w:szCs w:val="32"/>
        </w:rPr>
        <w:t>21 CFR Part 112</w:t>
      </w:r>
      <w:r>
        <w:rPr>
          <w:rFonts w:hint="eastAsia" w:ascii="黑体" w:hAnsi="黑体" w:eastAsia="黑体"/>
          <w:sz w:val="32"/>
          <w:szCs w:val="32"/>
        </w:rPr>
        <w:t>，简称</w:t>
      </w:r>
      <w:r>
        <w:rPr>
          <w:rFonts w:ascii="黑体" w:hAnsi="黑体" w:eastAsia="黑体"/>
          <w:sz w:val="32"/>
          <w:szCs w:val="32"/>
        </w:rPr>
        <w:t>112</w:t>
      </w:r>
      <w:r>
        <w:rPr>
          <w:rFonts w:hint="eastAsia" w:ascii="黑体" w:hAnsi="黑体" w:eastAsia="黑体"/>
          <w:sz w:val="32"/>
          <w:szCs w:val="32"/>
        </w:rPr>
        <w:t>法规）</w:t>
      </w:r>
    </w:p>
    <w:p>
      <w:pPr>
        <w:spacing w:line="54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该法规适用于种植将在美国消费的生鲜水果或蔬菜、且年销售额在</w:t>
      </w:r>
      <w:r>
        <w:rPr>
          <w:rFonts w:ascii="方正仿宋简体" w:eastAsia="方正仿宋简体"/>
          <w:sz w:val="32"/>
          <w:szCs w:val="32"/>
        </w:rPr>
        <w:t>2.5</w:t>
      </w:r>
      <w:r>
        <w:rPr>
          <w:rFonts w:hint="eastAsia" w:ascii="方正仿宋简体" w:eastAsia="方正仿宋简体"/>
          <w:sz w:val="32"/>
          <w:szCs w:val="32"/>
        </w:rPr>
        <w:t>万美金以上的农场或农场混合型企业。不完整（如已经切割）的水果或蔬菜，不属于</w:t>
      </w:r>
      <w:r>
        <w:rPr>
          <w:rFonts w:ascii="方正仿宋简体" w:eastAsia="方正仿宋简体"/>
          <w:sz w:val="32"/>
          <w:szCs w:val="32"/>
        </w:rPr>
        <w:t>112</w:t>
      </w:r>
      <w:r>
        <w:rPr>
          <w:rFonts w:hint="eastAsia" w:ascii="方正仿宋简体" w:eastAsia="方正仿宋简体"/>
          <w:sz w:val="32"/>
          <w:szCs w:val="32"/>
        </w:rPr>
        <w:t>法规管辖，属于</w:t>
      </w:r>
      <w:r>
        <w:rPr>
          <w:rFonts w:ascii="方正仿宋简体" w:eastAsia="方正仿宋简体"/>
          <w:sz w:val="32"/>
          <w:szCs w:val="32"/>
        </w:rPr>
        <w:t>117</w:t>
      </w:r>
      <w:r>
        <w:rPr>
          <w:rFonts w:hint="eastAsia" w:ascii="方正仿宋简体" w:eastAsia="方正仿宋简体"/>
          <w:sz w:val="32"/>
          <w:szCs w:val="32"/>
        </w:rPr>
        <w:t>法规管辖。芽菜农场比非芽菜农场合规期早一年。</w:t>
      </w:r>
    </w:p>
    <w:p>
      <w:pPr>
        <w:spacing w:line="54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对于年销售额在</w:t>
      </w:r>
      <w:r>
        <w:rPr>
          <w:rFonts w:ascii="方正仿宋简体" w:eastAsia="方正仿宋简体"/>
          <w:sz w:val="32"/>
          <w:szCs w:val="32"/>
        </w:rPr>
        <w:t>50</w:t>
      </w:r>
      <w:r>
        <w:rPr>
          <w:rFonts w:hint="eastAsia" w:ascii="方正仿宋简体" w:eastAsia="方正仿宋简体"/>
          <w:sz w:val="32"/>
          <w:szCs w:val="32"/>
        </w:rPr>
        <w:t>万美金以上的生鲜果蔬农场或农场混合型企业，合规期为</w:t>
      </w:r>
      <w:r>
        <w:rPr>
          <w:rFonts w:ascii="方正仿宋简体" w:eastAsia="方正仿宋简体"/>
          <w:sz w:val="32"/>
          <w:szCs w:val="32"/>
        </w:rPr>
        <w:t>2018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ascii="方正仿宋简体" w:eastAsia="方正仿宋简体"/>
          <w:sz w:val="32"/>
          <w:szCs w:val="32"/>
        </w:rPr>
        <w:t>1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ascii="方正仿宋简体" w:eastAsia="方正仿宋简体"/>
          <w:sz w:val="32"/>
          <w:szCs w:val="32"/>
        </w:rPr>
        <w:t>26</w:t>
      </w:r>
      <w:r>
        <w:rPr>
          <w:rFonts w:hint="eastAsia" w:ascii="方正仿宋简体" w:eastAsia="方正仿宋简体"/>
          <w:sz w:val="32"/>
          <w:szCs w:val="32"/>
        </w:rPr>
        <w:t>日；年销售额</w:t>
      </w:r>
      <w:r>
        <w:rPr>
          <w:rFonts w:ascii="方正仿宋简体" w:eastAsia="方正仿宋简体"/>
          <w:sz w:val="32"/>
          <w:szCs w:val="32"/>
        </w:rPr>
        <w:t>25-50</w:t>
      </w:r>
      <w:r>
        <w:rPr>
          <w:rFonts w:hint="eastAsia" w:ascii="方正仿宋简体" w:eastAsia="方正仿宋简体"/>
          <w:sz w:val="32"/>
          <w:szCs w:val="32"/>
        </w:rPr>
        <w:t>万美金的，合规期为</w:t>
      </w:r>
      <w:r>
        <w:rPr>
          <w:rFonts w:ascii="方正仿宋简体" w:eastAsia="方正仿宋简体"/>
          <w:sz w:val="32"/>
          <w:szCs w:val="32"/>
        </w:rPr>
        <w:t>2019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ascii="方正仿宋简体" w:eastAsia="方正仿宋简体"/>
          <w:sz w:val="32"/>
          <w:szCs w:val="32"/>
        </w:rPr>
        <w:t>1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ascii="方正仿宋简体" w:eastAsia="方正仿宋简体"/>
          <w:sz w:val="32"/>
          <w:szCs w:val="32"/>
        </w:rPr>
        <w:t>28</w:t>
      </w:r>
      <w:r>
        <w:rPr>
          <w:rFonts w:hint="eastAsia" w:ascii="方正仿宋简体" w:eastAsia="方正仿宋简体"/>
          <w:sz w:val="32"/>
          <w:szCs w:val="32"/>
        </w:rPr>
        <w:t>日；年销售额</w:t>
      </w:r>
      <w:r>
        <w:rPr>
          <w:rFonts w:ascii="方正仿宋简体" w:eastAsia="方正仿宋简体"/>
          <w:sz w:val="32"/>
          <w:szCs w:val="32"/>
        </w:rPr>
        <w:t>2.5-25</w:t>
      </w:r>
      <w:r>
        <w:rPr>
          <w:rFonts w:hint="eastAsia" w:ascii="方正仿宋简体" w:eastAsia="方正仿宋简体"/>
          <w:sz w:val="32"/>
          <w:szCs w:val="32"/>
        </w:rPr>
        <w:t>万美金的，合规期为</w:t>
      </w:r>
      <w:r>
        <w:rPr>
          <w:rFonts w:ascii="方正仿宋简体" w:eastAsia="方正仿宋简体"/>
          <w:sz w:val="32"/>
          <w:szCs w:val="32"/>
        </w:rPr>
        <w:t>2020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ascii="方正仿宋简体" w:eastAsia="方正仿宋简体"/>
          <w:sz w:val="32"/>
          <w:szCs w:val="32"/>
        </w:rPr>
        <w:t>1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ascii="方正仿宋简体" w:eastAsia="方正仿宋简体"/>
          <w:sz w:val="32"/>
          <w:szCs w:val="32"/>
        </w:rPr>
        <w:t>27</w:t>
      </w:r>
      <w:r>
        <w:rPr>
          <w:rFonts w:hint="eastAsia" w:ascii="方正仿宋简体" w:eastAsia="方正仿宋简体"/>
          <w:sz w:val="32"/>
          <w:szCs w:val="32"/>
        </w:rPr>
        <w:t>日。</w:t>
      </w:r>
    </w:p>
    <w:p>
      <w:pPr>
        <w:spacing w:line="54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生产芽菜的农场，若年销售额在</w:t>
      </w:r>
      <w:r>
        <w:rPr>
          <w:rFonts w:ascii="方正仿宋简体" w:eastAsia="方正仿宋简体"/>
          <w:sz w:val="32"/>
          <w:szCs w:val="32"/>
        </w:rPr>
        <w:t>50</w:t>
      </w:r>
      <w:r>
        <w:rPr>
          <w:rFonts w:hint="eastAsia" w:ascii="方正仿宋简体" w:eastAsia="方正仿宋简体"/>
          <w:sz w:val="32"/>
          <w:szCs w:val="32"/>
        </w:rPr>
        <w:t>万美金以上的，合规期为</w:t>
      </w:r>
      <w:r>
        <w:rPr>
          <w:rFonts w:ascii="方正仿宋简体" w:eastAsia="方正仿宋简体"/>
          <w:sz w:val="32"/>
          <w:szCs w:val="32"/>
        </w:rPr>
        <w:t>2017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ascii="方正仿宋简体" w:eastAsia="方正仿宋简体"/>
          <w:sz w:val="32"/>
          <w:szCs w:val="32"/>
        </w:rPr>
        <w:t>1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ascii="方正仿宋简体" w:eastAsia="方正仿宋简体"/>
          <w:sz w:val="32"/>
          <w:szCs w:val="32"/>
        </w:rPr>
        <w:t>26</w:t>
      </w:r>
      <w:r>
        <w:rPr>
          <w:rFonts w:hint="eastAsia" w:ascii="方正仿宋简体" w:eastAsia="方正仿宋简体"/>
          <w:sz w:val="32"/>
          <w:szCs w:val="32"/>
        </w:rPr>
        <w:t>日；年销售额</w:t>
      </w:r>
      <w:r>
        <w:rPr>
          <w:rFonts w:ascii="方正仿宋简体" w:eastAsia="方正仿宋简体"/>
          <w:sz w:val="32"/>
          <w:szCs w:val="32"/>
        </w:rPr>
        <w:t>25-50</w:t>
      </w:r>
      <w:r>
        <w:rPr>
          <w:rFonts w:hint="eastAsia" w:ascii="方正仿宋简体" w:eastAsia="方正仿宋简体"/>
          <w:sz w:val="32"/>
          <w:szCs w:val="32"/>
        </w:rPr>
        <w:t>万美金的，合规期为</w:t>
      </w:r>
      <w:r>
        <w:rPr>
          <w:rFonts w:ascii="方正仿宋简体" w:eastAsia="方正仿宋简体"/>
          <w:sz w:val="32"/>
          <w:szCs w:val="32"/>
        </w:rPr>
        <w:t>2018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ascii="方正仿宋简体" w:eastAsia="方正仿宋简体"/>
          <w:sz w:val="32"/>
          <w:szCs w:val="32"/>
        </w:rPr>
        <w:t>1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ascii="方正仿宋简体" w:eastAsia="方正仿宋简体"/>
          <w:sz w:val="32"/>
          <w:szCs w:val="32"/>
        </w:rPr>
        <w:t>26</w:t>
      </w:r>
      <w:r>
        <w:rPr>
          <w:rFonts w:hint="eastAsia" w:ascii="方正仿宋简体" w:eastAsia="方正仿宋简体"/>
          <w:sz w:val="32"/>
          <w:szCs w:val="32"/>
        </w:rPr>
        <w:t>日；年销售额</w:t>
      </w:r>
      <w:r>
        <w:rPr>
          <w:rFonts w:ascii="方正仿宋简体" w:eastAsia="方正仿宋简体"/>
          <w:sz w:val="32"/>
          <w:szCs w:val="32"/>
        </w:rPr>
        <w:t>2.5-25</w:t>
      </w:r>
      <w:r>
        <w:rPr>
          <w:rFonts w:hint="eastAsia" w:ascii="方正仿宋简体" w:eastAsia="方正仿宋简体"/>
          <w:sz w:val="32"/>
          <w:szCs w:val="32"/>
        </w:rPr>
        <w:t>万美金的，合规期为</w:t>
      </w:r>
      <w:r>
        <w:rPr>
          <w:rFonts w:ascii="方正仿宋简体" w:eastAsia="方正仿宋简体"/>
          <w:sz w:val="32"/>
          <w:szCs w:val="32"/>
        </w:rPr>
        <w:t>2019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ascii="方正仿宋简体" w:eastAsia="方正仿宋简体"/>
          <w:sz w:val="32"/>
          <w:szCs w:val="32"/>
        </w:rPr>
        <w:t>1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ascii="方正仿宋简体" w:eastAsia="方正仿宋简体"/>
          <w:sz w:val="32"/>
          <w:szCs w:val="32"/>
        </w:rPr>
        <w:t>28</w:t>
      </w:r>
      <w:r>
        <w:rPr>
          <w:rFonts w:hint="eastAsia" w:ascii="方正仿宋简体" w:eastAsia="方正仿宋简体"/>
          <w:sz w:val="32"/>
          <w:szCs w:val="32"/>
        </w:rPr>
        <w:t>日。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四、《国外供应商验证计划》（简称</w:t>
      </w:r>
      <w:r>
        <w:rPr>
          <w:rFonts w:ascii="黑体" w:hAnsi="黑体" w:eastAsia="黑体"/>
          <w:sz w:val="32"/>
          <w:szCs w:val="32"/>
        </w:rPr>
        <w:t>FSVP</w:t>
      </w:r>
      <w:r>
        <w:rPr>
          <w:rFonts w:hint="eastAsia" w:ascii="黑体" w:hAnsi="黑体" w:eastAsia="黑体"/>
          <w:sz w:val="32"/>
          <w:szCs w:val="32"/>
        </w:rPr>
        <w:t>法规）</w:t>
      </w:r>
    </w:p>
    <w:p>
      <w:pPr>
        <w:spacing w:line="54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/>
          <w:sz w:val="32"/>
          <w:szCs w:val="32"/>
        </w:rPr>
        <w:t>FSVP</w:t>
      </w:r>
      <w:r>
        <w:rPr>
          <w:rFonts w:hint="eastAsia" w:ascii="方正仿宋简体" w:eastAsia="方正仿宋简体"/>
          <w:sz w:val="32"/>
          <w:szCs w:val="32"/>
        </w:rPr>
        <w:t>是一部要求美国进口商对其进口食品的国外供应商进行验证的法规。</w:t>
      </w:r>
    </w:p>
    <w:p>
      <w:pPr>
        <w:spacing w:line="54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进口商首个遵循</w:t>
      </w:r>
      <w:r>
        <w:rPr>
          <w:rFonts w:ascii="方正仿宋简体" w:eastAsia="方正仿宋简体"/>
          <w:sz w:val="32"/>
          <w:szCs w:val="32"/>
        </w:rPr>
        <w:t>FSVP</w:t>
      </w:r>
      <w:r>
        <w:rPr>
          <w:rFonts w:hint="eastAsia" w:ascii="方正仿宋简体" w:eastAsia="方正仿宋简体"/>
          <w:sz w:val="32"/>
          <w:szCs w:val="32"/>
        </w:rPr>
        <w:t>法规的合规日期为最终法规发布</w:t>
      </w:r>
      <w:r>
        <w:rPr>
          <w:rFonts w:ascii="方正仿宋简体" w:eastAsia="方正仿宋简体"/>
          <w:sz w:val="32"/>
          <w:szCs w:val="32"/>
        </w:rPr>
        <w:t>18</w:t>
      </w:r>
      <w:r>
        <w:rPr>
          <w:rFonts w:hint="eastAsia" w:ascii="方正仿宋简体" w:eastAsia="方正仿宋简体"/>
          <w:sz w:val="32"/>
          <w:szCs w:val="32"/>
        </w:rPr>
        <w:t>个月后，即</w:t>
      </w:r>
      <w:r>
        <w:rPr>
          <w:rFonts w:ascii="方正仿宋简体" w:eastAsia="方正仿宋简体"/>
          <w:sz w:val="32"/>
          <w:szCs w:val="32"/>
        </w:rPr>
        <w:t>2017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ascii="方正仿宋简体" w:eastAsia="方正仿宋简体"/>
          <w:sz w:val="32"/>
          <w:szCs w:val="32"/>
        </w:rPr>
        <w:t>5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ascii="方正仿宋简体" w:eastAsia="方正仿宋简体"/>
          <w:sz w:val="32"/>
          <w:szCs w:val="32"/>
        </w:rPr>
        <w:t>30</w:t>
      </w:r>
      <w:r>
        <w:rPr>
          <w:rFonts w:hint="eastAsia" w:ascii="方正仿宋简体" w:eastAsia="方正仿宋简体"/>
          <w:sz w:val="32"/>
          <w:szCs w:val="32"/>
        </w:rPr>
        <w:t>日。如其供应商受</w:t>
      </w:r>
      <w:r>
        <w:rPr>
          <w:rFonts w:ascii="方正仿宋简体" w:eastAsia="方正仿宋简体"/>
          <w:sz w:val="32"/>
          <w:szCs w:val="32"/>
        </w:rPr>
        <w:t>117</w:t>
      </w:r>
      <w:r>
        <w:rPr>
          <w:rFonts w:hint="eastAsia" w:ascii="方正仿宋简体" w:eastAsia="方正仿宋简体"/>
          <w:sz w:val="32"/>
          <w:szCs w:val="32"/>
        </w:rPr>
        <w:t>法规或</w:t>
      </w:r>
      <w:r>
        <w:rPr>
          <w:rFonts w:ascii="方正仿宋简体" w:eastAsia="方正仿宋简体"/>
          <w:sz w:val="32"/>
          <w:szCs w:val="32"/>
        </w:rPr>
        <w:t>112</w:t>
      </w:r>
      <w:r>
        <w:rPr>
          <w:rFonts w:hint="eastAsia" w:ascii="方正仿宋简体" w:eastAsia="方正仿宋简体"/>
          <w:sz w:val="32"/>
          <w:szCs w:val="32"/>
        </w:rPr>
        <w:t>法规要求，该进口商合规日期应在供应商遵循相关法规6个月之后；如进口商本身也是食品生产商或加工商，且受</w:t>
      </w:r>
      <w:r>
        <w:rPr>
          <w:rFonts w:ascii="方正仿宋简体" w:eastAsia="方正仿宋简体"/>
          <w:sz w:val="32"/>
          <w:szCs w:val="32"/>
        </w:rPr>
        <w:t>117</w:t>
      </w:r>
      <w:r>
        <w:rPr>
          <w:rFonts w:hint="eastAsia" w:ascii="方正仿宋简体" w:eastAsia="方正仿宋简体"/>
          <w:sz w:val="32"/>
          <w:szCs w:val="32"/>
        </w:rPr>
        <w:t>法规中</w:t>
      </w:r>
      <w:r>
        <w:rPr>
          <w:rFonts w:ascii="方正仿宋简体" w:eastAsia="方正仿宋简体"/>
          <w:sz w:val="32"/>
          <w:szCs w:val="32"/>
        </w:rPr>
        <w:t>G</w:t>
      </w:r>
      <w:r>
        <w:rPr>
          <w:rFonts w:hint="eastAsia" w:ascii="方正仿宋简体" w:eastAsia="方正仿宋简体"/>
          <w:sz w:val="32"/>
          <w:szCs w:val="32"/>
        </w:rPr>
        <w:t>部分条款要求，其合规日期应与符合</w:t>
      </w:r>
      <w:r>
        <w:rPr>
          <w:rFonts w:ascii="方正仿宋简体" w:eastAsia="方正仿宋简体"/>
          <w:sz w:val="32"/>
          <w:szCs w:val="32"/>
        </w:rPr>
        <w:t>G</w:t>
      </w:r>
      <w:r>
        <w:rPr>
          <w:rFonts w:hint="eastAsia" w:ascii="方正仿宋简体" w:eastAsia="方正仿宋简体"/>
          <w:sz w:val="32"/>
          <w:szCs w:val="32"/>
        </w:rPr>
        <w:t>部分条款的日期一致。</w:t>
      </w:r>
    </w:p>
    <w:p>
      <w:pPr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五、《保护食品防止被故意掺杂的缓解策略》（</w:t>
      </w:r>
      <w:r>
        <w:rPr>
          <w:rFonts w:ascii="黑体" w:hAnsi="黑体" w:eastAsia="黑体"/>
          <w:sz w:val="32"/>
          <w:szCs w:val="32"/>
        </w:rPr>
        <w:t>21 CFR Part 121</w:t>
      </w:r>
      <w:r>
        <w:rPr>
          <w:rFonts w:hint="eastAsia" w:ascii="黑体" w:hAnsi="黑体" w:eastAsia="黑体"/>
          <w:sz w:val="32"/>
          <w:szCs w:val="32"/>
        </w:rPr>
        <w:t>，简称</w:t>
      </w:r>
      <w:r>
        <w:rPr>
          <w:rFonts w:ascii="黑体" w:hAnsi="黑体" w:eastAsia="黑体"/>
          <w:sz w:val="32"/>
          <w:szCs w:val="32"/>
        </w:rPr>
        <w:t>121</w:t>
      </w:r>
      <w:r>
        <w:rPr>
          <w:rFonts w:hint="eastAsia" w:ascii="黑体" w:hAnsi="黑体" w:eastAsia="黑体"/>
          <w:sz w:val="32"/>
          <w:szCs w:val="32"/>
        </w:rPr>
        <w:t>法规）</w:t>
      </w:r>
    </w:p>
    <w:p>
      <w:pPr>
        <w:spacing w:line="540" w:lineRule="exact"/>
        <w:ind w:firstLine="640" w:firstLineChars="2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输美食品企业年平均经营额1000万美元以上、雇员</w:t>
      </w:r>
      <w:r>
        <w:rPr>
          <w:rFonts w:ascii="方正仿宋简体" w:eastAsia="方正仿宋简体"/>
          <w:sz w:val="32"/>
          <w:szCs w:val="32"/>
        </w:rPr>
        <w:t>500</w:t>
      </w:r>
      <w:r>
        <w:rPr>
          <w:rFonts w:hint="eastAsia" w:ascii="方正仿宋简体" w:eastAsia="方正仿宋简体"/>
          <w:sz w:val="32"/>
          <w:szCs w:val="32"/>
        </w:rPr>
        <w:t>人以上企业合规日期为</w:t>
      </w:r>
      <w:r>
        <w:rPr>
          <w:rFonts w:ascii="方正仿宋简体" w:eastAsia="方正仿宋简体"/>
          <w:sz w:val="32"/>
          <w:szCs w:val="32"/>
        </w:rPr>
        <w:t>2019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ascii="方正仿宋简体" w:eastAsia="方正仿宋简体"/>
          <w:sz w:val="32"/>
          <w:szCs w:val="32"/>
        </w:rPr>
        <w:t>7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ascii="方正仿宋简体" w:eastAsia="方正仿宋简体"/>
          <w:sz w:val="32"/>
          <w:szCs w:val="32"/>
        </w:rPr>
        <w:t>26</w:t>
      </w:r>
      <w:r>
        <w:rPr>
          <w:rFonts w:hint="eastAsia" w:ascii="方正仿宋简体" w:eastAsia="方正仿宋简体"/>
          <w:sz w:val="32"/>
          <w:szCs w:val="32"/>
        </w:rPr>
        <w:t>日；年平均经营额1000万美元以上、雇员不超过</w:t>
      </w:r>
      <w:r>
        <w:rPr>
          <w:rFonts w:ascii="方正仿宋简体" w:eastAsia="方正仿宋简体"/>
          <w:sz w:val="32"/>
          <w:szCs w:val="32"/>
        </w:rPr>
        <w:t>500</w:t>
      </w:r>
      <w:r>
        <w:rPr>
          <w:rFonts w:hint="eastAsia" w:ascii="方正仿宋简体" w:eastAsia="方正仿宋简体"/>
          <w:sz w:val="32"/>
          <w:szCs w:val="32"/>
        </w:rPr>
        <w:t>人企业合规日期为</w:t>
      </w:r>
      <w:r>
        <w:rPr>
          <w:rFonts w:ascii="方正仿宋简体" w:eastAsia="方正仿宋简体"/>
          <w:sz w:val="32"/>
          <w:szCs w:val="32"/>
        </w:rPr>
        <w:t>2020</w:t>
      </w:r>
      <w:r>
        <w:rPr>
          <w:rFonts w:hint="eastAsia" w:ascii="方正仿宋简体" w:eastAsia="方正仿宋简体"/>
          <w:sz w:val="32"/>
          <w:szCs w:val="32"/>
        </w:rPr>
        <w:t>年</w:t>
      </w:r>
      <w:r>
        <w:rPr>
          <w:rFonts w:ascii="方正仿宋简体" w:eastAsia="方正仿宋简体"/>
          <w:sz w:val="32"/>
          <w:szCs w:val="32"/>
        </w:rPr>
        <w:t>7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ascii="方正仿宋简体" w:eastAsia="方正仿宋简体"/>
          <w:sz w:val="32"/>
          <w:szCs w:val="32"/>
        </w:rPr>
        <w:t>27</w:t>
      </w:r>
      <w:r>
        <w:rPr>
          <w:rFonts w:hint="eastAsia" w:ascii="方正仿宋简体" w:eastAsia="方正仿宋简体"/>
          <w:sz w:val="32"/>
          <w:szCs w:val="32"/>
        </w:rPr>
        <w:t>日。</w:t>
      </w:r>
    </w:p>
    <w:p>
      <w:pPr>
        <w:spacing w:line="560" w:lineRule="exact"/>
        <w:rPr>
          <w:rFonts w:ascii="方正仿宋简体" w:eastAsia="方正仿宋简体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474" w:bottom="1361" w:left="147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  <w:lang w:val="zh-CN"/>
      </w:rPr>
      <w:t>—</w:t>
    </w:r>
    <w:r>
      <w:rPr>
        <w:rFonts w:ascii="宋体" w:hAnsi="宋体"/>
        <w:sz w:val="28"/>
        <w:szCs w:val="28"/>
        <w:lang w:val="zh-CN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</w:t>
    </w:r>
    <w:r>
      <w:rPr>
        <w:rFonts w:hint="eastAsia" w:ascii="宋体" w:hAnsi="宋体"/>
        <w:sz w:val="28"/>
        <w:szCs w:val="28"/>
        <w:lang w:val="zh-CN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  <w:lang w:val="zh-CN"/>
      </w:rPr>
      <w:t>—</w:t>
    </w:r>
    <w:r>
      <w:rPr>
        <w:rFonts w:ascii="宋体" w:hAnsi="宋体"/>
        <w:sz w:val="28"/>
        <w:szCs w:val="28"/>
        <w:lang w:val="zh-CN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</w:t>
    </w:r>
    <w:r>
      <w:rPr>
        <w:rFonts w:hint="eastAsia" w:ascii="宋体" w:hAnsi="宋体"/>
        <w:sz w:val="28"/>
        <w:szCs w:val="28"/>
        <w:lang w:val="zh-CN"/>
      </w:rPr>
      <w:t>—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  <w:lang w:val="zh-CN"/>
      </w:rPr>
      <w:t>—</w:t>
    </w:r>
    <w:r>
      <w:rPr>
        <w:rFonts w:ascii="宋体" w:hAnsi="宋体"/>
        <w:sz w:val="28"/>
        <w:szCs w:val="28"/>
        <w:lang w:val="zh-CN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  <w:lang w:val="zh-CN"/>
      </w:rPr>
      <w:t xml:space="preserve"> </w:t>
    </w:r>
    <w:r>
      <w:rPr>
        <w:rFonts w:hint="eastAsia" w:ascii="宋体" w:hAnsi="宋体"/>
        <w:sz w:val="28"/>
        <w:szCs w:val="28"/>
        <w:lang w:val="zh-CN"/>
      </w:rPr>
      <w:t>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A62"/>
    <w:rsid w:val="002E6229"/>
    <w:rsid w:val="003B63D7"/>
    <w:rsid w:val="006E6A62"/>
    <w:rsid w:val="006F6940"/>
    <w:rsid w:val="5485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174</Words>
  <Characters>995</Characters>
  <Lines>8</Lines>
  <Paragraphs>2</Paragraphs>
  <TotalTime>0</TotalTime>
  <ScaleCrop>false</ScaleCrop>
  <LinksUpToDate>false</LinksUpToDate>
  <CharactersWithSpaces>1167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2018-06-22T04:03:00Z</dcterms:created>
  <dc:creator>Master</dc:creator>
  <cp:lastModifiedBy>SiouxsieTRexDMC*JesusMaryChain</cp:lastModifiedBy>
  <dcterms:modified xsi:type="dcterms:W3CDTF">2018-06-25T00:51:01Z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