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jc w:val="left"/>
        <w:rPr>
          <w:rFonts w:ascii="黑体" w:eastAsia="黑体"/>
          <w:sz w:val="32"/>
          <w:szCs w:val="32"/>
        </w:rPr>
      </w:pPr>
      <w:bookmarkStart w:id="0" w:name="_GoBack"/>
      <w:bookmarkEnd w:id="0"/>
      <w:r>
        <w:rPr>
          <w:rFonts w:hint="eastAsia" w:ascii="黑体" w:eastAsia="黑体"/>
          <w:sz w:val="32"/>
          <w:szCs w:val="32"/>
        </w:rPr>
        <w:t>附件</w:t>
      </w:r>
    </w:p>
    <w:p>
      <w:pPr>
        <w:adjustRightInd w:val="0"/>
        <w:spacing w:after="217" w:afterLines="50"/>
        <w:jc w:val="center"/>
        <w:rPr>
          <w:rFonts w:ascii="方正小标宋简体" w:hAnsi="宋体" w:eastAsia="方正小标宋简体"/>
          <w:sz w:val="36"/>
          <w:szCs w:val="36"/>
        </w:rPr>
      </w:pPr>
      <w:r>
        <w:rPr>
          <w:rFonts w:hint="eastAsia" w:ascii="方正小标宋简体" w:hAnsi="宋体" w:eastAsia="方正小标宋简体"/>
          <w:sz w:val="36"/>
          <w:szCs w:val="36"/>
        </w:rPr>
        <w:t>上海市“放心肉菜示范超市”审核评价表（2018版）</w:t>
      </w:r>
    </w:p>
    <w:tbl>
      <w:tblPr>
        <w:tblStyle w:val="3"/>
        <w:tblW w:w="13920" w:type="dxa"/>
        <w:jc w:val="center"/>
        <w:tblInd w:w="93" w:type="dxa"/>
        <w:tblLayout w:type="fixed"/>
        <w:tblCellMar>
          <w:top w:w="15" w:type="dxa"/>
          <w:left w:w="108" w:type="dxa"/>
          <w:bottom w:w="15" w:type="dxa"/>
          <w:right w:w="108" w:type="dxa"/>
        </w:tblCellMar>
      </w:tblPr>
      <w:tblGrid>
        <w:gridCol w:w="6960"/>
        <w:gridCol w:w="6960"/>
      </w:tblGrid>
      <w:tr>
        <w:tblPrEx>
          <w:tblLayout w:type="fixed"/>
          <w:tblCellMar>
            <w:top w:w="15" w:type="dxa"/>
            <w:left w:w="108" w:type="dxa"/>
            <w:bottom w:w="15" w:type="dxa"/>
            <w:right w:w="108" w:type="dxa"/>
          </w:tblCellMar>
        </w:tblPrEx>
        <w:trPr>
          <w:trHeight w:val="600" w:hRule="atLeast"/>
          <w:jc w:val="center"/>
        </w:trPr>
        <w:tc>
          <w:tcPr>
            <w:tcW w:w="69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企业地址：</w:t>
            </w:r>
          </w:p>
        </w:tc>
        <w:tc>
          <w:tcPr>
            <w:tcW w:w="69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职位/联系方式：</w:t>
            </w:r>
          </w:p>
        </w:tc>
      </w:tr>
      <w:tr>
        <w:tblPrEx>
          <w:tblLayout w:type="fixed"/>
          <w:tblCellMar>
            <w:top w:w="15" w:type="dxa"/>
            <w:left w:w="108" w:type="dxa"/>
            <w:bottom w:w="15" w:type="dxa"/>
            <w:right w:w="108" w:type="dxa"/>
          </w:tblCellMar>
        </w:tblPrEx>
        <w:trPr>
          <w:trHeight w:val="600" w:hRule="atLeast"/>
          <w:jc w:val="center"/>
        </w:trPr>
        <w:tc>
          <w:tcPr>
            <w:tcW w:w="69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企业名称：</w:t>
            </w:r>
          </w:p>
        </w:tc>
        <w:tc>
          <w:tcPr>
            <w:tcW w:w="69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参与人员：</w:t>
            </w:r>
          </w:p>
        </w:tc>
      </w:tr>
      <w:tr>
        <w:tblPrEx>
          <w:tblLayout w:type="fixed"/>
          <w:tblCellMar>
            <w:top w:w="15" w:type="dxa"/>
            <w:left w:w="108" w:type="dxa"/>
            <w:bottom w:w="15" w:type="dxa"/>
            <w:right w:w="108" w:type="dxa"/>
          </w:tblCellMar>
        </w:tblPrEx>
        <w:trPr>
          <w:trHeight w:val="600" w:hRule="atLeast"/>
          <w:jc w:val="center"/>
        </w:trPr>
        <w:tc>
          <w:tcPr>
            <w:tcW w:w="139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审核评价依据</w:t>
            </w:r>
          </w:p>
        </w:tc>
      </w:tr>
      <w:tr>
        <w:tblPrEx>
          <w:tblLayout w:type="fixed"/>
          <w:tblCellMar>
            <w:top w:w="15" w:type="dxa"/>
            <w:left w:w="108" w:type="dxa"/>
            <w:bottom w:w="15" w:type="dxa"/>
            <w:right w:w="108" w:type="dxa"/>
          </w:tblCellMar>
        </w:tblPrEx>
        <w:trPr>
          <w:trHeight w:val="2484" w:hRule="atLeast"/>
          <w:jc w:val="center"/>
        </w:trPr>
        <w:tc>
          <w:tcPr>
            <w:tcW w:w="1392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ascii="宋体" w:hAnsi="宋体" w:cs="宋体"/>
                <w:color w:val="000000"/>
                <w:kern w:val="0"/>
                <w:sz w:val="22"/>
                <w:szCs w:val="22"/>
              </w:rPr>
              <w:t>《食品安全法》《上海市食品安全条例》《食品经营许可管理办法》 《食用农产品市场销售质量安全监督管理办法》 《食品生产经营日常监督检查管理办法》《国务院食品安全办关于印发〈关于开展创建“放心肉菜示范超市”活动的工作方案〉和〈放心肉菜示范超市创建标准〉的通知》《“放心肉菜示范超市”验收标准》《上海市食品安全信息追溯管理办法》《中共上海市委办公厅 上海市人民政府办公厅印发〈上海市建设市民满意的食品安全城市行动方案〉的通知》《上海市食药安办关于印发〈关于开展建设食品安全“守信超市”和创建“放心肉菜示范超市”活动的工作方案〉的通知》《上海市食品经营许可管理实施办法（试行）2017》等。</w:t>
            </w:r>
          </w:p>
        </w:tc>
      </w:tr>
      <w:tr>
        <w:tblPrEx>
          <w:tblLayout w:type="fixed"/>
          <w:tblCellMar>
            <w:top w:w="15" w:type="dxa"/>
            <w:left w:w="108" w:type="dxa"/>
            <w:bottom w:w="15" w:type="dxa"/>
            <w:right w:w="108" w:type="dxa"/>
          </w:tblCellMar>
        </w:tblPrEx>
        <w:trPr>
          <w:trHeight w:val="480" w:hRule="atLeast"/>
          <w:jc w:val="center"/>
        </w:trPr>
        <w:tc>
          <w:tcPr>
            <w:tcW w:w="139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审核评价标准</w:t>
            </w:r>
          </w:p>
        </w:tc>
      </w:tr>
      <w:tr>
        <w:tblPrEx>
          <w:tblLayout w:type="fixed"/>
          <w:tblCellMar>
            <w:top w:w="15" w:type="dxa"/>
            <w:left w:w="108" w:type="dxa"/>
            <w:bottom w:w="15" w:type="dxa"/>
            <w:right w:w="108" w:type="dxa"/>
          </w:tblCellMar>
        </w:tblPrEx>
        <w:trPr>
          <w:trHeight w:val="1152" w:hRule="atLeast"/>
          <w:jc w:val="center"/>
        </w:trPr>
        <w:tc>
          <w:tcPr>
            <w:tcW w:w="1392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（1）获得上海市“守信标准超市”及“守信大卖场”资格的企业才能申请上海市“放心肉菜示范超市”的审核评价工作；                                                                                             （2）此审核评价表采用评分制，满分150分，最高分者推荐授予“放心肉菜示范超市”。</w:t>
            </w:r>
          </w:p>
        </w:tc>
      </w:tr>
    </w:tbl>
    <w:p>
      <w:r>
        <w:br w:type="page"/>
      </w:r>
    </w:p>
    <w:tbl>
      <w:tblPr>
        <w:tblStyle w:val="3"/>
        <w:tblW w:w="14611" w:type="dxa"/>
        <w:tblInd w:w="-34" w:type="dxa"/>
        <w:tblLayout w:type="fixed"/>
        <w:tblCellMar>
          <w:top w:w="15" w:type="dxa"/>
          <w:left w:w="108" w:type="dxa"/>
          <w:bottom w:w="15" w:type="dxa"/>
          <w:right w:w="108" w:type="dxa"/>
        </w:tblCellMar>
      </w:tblPr>
      <w:tblGrid>
        <w:gridCol w:w="1589"/>
        <w:gridCol w:w="2416"/>
        <w:gridCol w:w="3217"/>
        <w:gridCol w:w="1822"/>
        <w:gridCol w:w="701"/>
        <w:gridCol w:w="701"/>
        <w:gridCol w:w="2535"/>
        <w:gridCol w:w="1630"/>
      </w:tblGrid>
      <w:tr>
        <w:tblPrEx>
          <w:tblLayout w:type="fixed"/>
          <w:tblCellMar>
            <w:top w:w="15" w:type="dxa"/>
            <w:left w:w="108" w:type="dxa"/>
            <w:bottom w:w="15" w:type="dxa"/>
            <w:right w:w="108" w:type="dxa"/>
          </w:tblCellMar>
        </w:tblPrEx>
        <w:trPr>
          <w:cantSplit/>
          <w:trHeight w:val="612" w:hRule="atLeast"/>
          <w:tblHeader/>
        </w:trPr>
        <w:tc>
          <w:tcPr>
            <w:tcW w:w="158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color w:val="000000"/>
                <w:kern w:val="0"/>
                <w:sz w:val="24"/>
              </w:rPr>
            </w:pPr>
            <w:r>
              <w:rPr>
                <w:rFonts w:hint="eastAsia" w:ascii="宋体" w:hAnsi="宋体" w:cs="宋体"/>
                <w:b/>
                <w:bCs/>
                <w:color w:val="000000"/>
                <w:kern w:val="0"/>
                <w:sz w:val="24"/>
              </w:rPr>
              <w:t>序号</w:t>
            </w:r>
          </w:p>
        </w:tc>
        <w:tc>
          <w:tcPr>
            <w:tcW w:w="241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color w:val="000000"/>
                <w:kern w:val="0"/>
                <w:sz w:val="24"/>
              </w:rPr>
            </w:pPr>
            <w:r>
              <w:rPr>
                <w:rFonts w:hint="eastAsia" w:ascii="宋体" w:hAnsi="宋体" w:cs="宋体"/>
                <w:b/>
                <w:bCs/>
                <w:color w:val="000000"/>
                <w:kern w:val="0"/>
                <w:sz w:val="24"/>
              </w:rPr>
              <w:t>创建标准</w:t>
            </w:r>
          </w:p>
        </w:tc>
        <w:tc>
          <w:tcPr>
            <w:tcW w:w="32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color w:val="000000"/>
                <w:kern w:val="0"/>
                <w:sz w:val="24"/>
              </w:rPr>
            </w:pPr>
            <w:r>
              <w:rPr>
                <w:rFonts w:hint="eastAsia" w:ascii="宋体" w:hAnsi="宋体" w:cs="宋体"/>
                <w:b/>
                <w:bCs/>
                <w:color w:val="000000"/>
                <w:kern w:val="0"/>
                <w:sz w:val="24"/>
              </w:rPr>
              <w:t>审核评价细则</w:t>
            </w:r>
          </w:p>
        </w:tc>
        <w:tc>
          <w:tcPr>
            <w:tcW w:w="182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color w:val="000000"/>
                <w:kern w:val="0"/>
                <w:sz w:val="24"/>
              </w:rPr>
            </w:pPr>
            <w:r>
              <w:rPr>
                <w:rFonts w:hint="eastAsia" w:ascii="宋体" w:hAnsi="宋体" w:cs="宋体"/>
                <w:b/>
                <w:bCs/>
                <w:color w:val="000000"/>
                <w:kern w:val="0"/>
                <w:sz w:val="24"/>
              </w:rPr>
              <w:t>审核评价提示</w:t>
            </w:r>
          </w:p>
        </w:tc>
        <w:tc>
          <w:tcPr>
            <w:tcW w:w="70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color w:val="000000"/>
                <w:kern w:val="0"/>
                <w:sz w:val="24"/>
              </w:rPr>
            </w:pPr>
            <w:r>
              <w:rPr>
                <w:rFonts w:hint="eastAsia" w:ascii="宋体" w:hAnsi="宋体" w:cs="宋体"/>
                <w:b/>
                <w:bCs/>
                <w:color w:val="000000"/>
                <w:kern w:val="0"/>
                <w:sz w:val="24"/>
              </w:rPr>
              <w:t>满分</w:t>
            </w:r>
          </w:p>
        </w:tc>
        <w:tc>
          <w:tcPr>
            <w:tcW w:w="70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color w:val="000000"/>
                <w:kern w:val="0"/>
                <w:sz w:val="24"/>
              </w:rPr>
            </w:pPr>
            <w:r>
              <w:rPr>
                <w:rFonts w:hint="eastAsia" w:ascii="宋体" w:hAnsi="宋体" w:cs="宋体"/>
                <w:b/>
                <w:bCs/>
                <w:color w:val="000000"/>
                <w:kern w:val="0"/>
                <w:sz w:val="24"/>
              </w:rPr>
              <w:t>得分</w:t>
            </w:r>
          </w:p>
        </w:tc>
        <w:tc>
          <w:tcPr>
            <w:tcW w:w="25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color w:val="000000"/>
                <w:kern w:val="0"/>
                <w:sz w:val="24"/>
              </w:rPr>
            </w:pPr>
            <w:r>
              <w:rPr>
                <w:rFonts w:hint="eastAsia" w:ascii="宋体" w:hAnsi="宋体" w:cs="宋体"/>
                <w:b/>
                <w:bCs/>
                <w:color w:val="000000"/>
                <w:kern w:val="0"/>
                <w:sz w:val="24"/>
              </w:rPr>
              <w:t>法规依据</w:t>
            </w:r>
          </w:p>
        </w:tc>
        <w:tc>
          <w:tcPr>
            <w:tcW w:w="16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color w:val="000000"/>
                <w:kern w:val="0"/>
                <w:sz w:val="24"/>
              </w:rPr>
            </w:pPr>
            <w:r>
              <w:rPr>
                <w:rFonts w:hint="eastAsia" w:ascii="宋体" w:hAnsi="宋体" w:cs="宋体"/>
                <w:b/>
                <w:bCs/>
                <w:color w:val="000000"/>
                <w:kern w:val="0"/>
                <w:sz w:val="24"/>
              </w:rPr>
              <w:t>备注</w:t>
            </w:r>
          </w:p>
        </w:tc>
      </w:tr>
      <w:tr>
        <w:tblPrEx>
          <w:tblLayout w:type="fixed"/>
          <w:tblCellMar>
            <w:top w:w="15" w:type="dxa"/>
            <w:left w:w="108" w:type="dxa"/>
            <w:bottom w:w="15" w:type="dxa"/>
            <w:right w:w="108" w:type="dxa"/>
          </w:tblCellMar>
        </w:tblPrEx>
        <w:trPr>
          <w:trHeight w:val="444" w:hRule="atLeast"/>
        </w:trPr>
        <w:tc>
          <w:tcPr>
            <w:tcW w:w="14611"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4"/>
              </w:rPr>
            </w:pPr>
            <w:r>
              <w:rPr>
                <w:rFonts w:hint="eastAsia" w:ascii="宋体" w:hAnsi="宋体" w:cs="宋体"/>
                <w:b/>
                <w:bCs/>
                <w:color w:val="000000"/>
                <w:kern w:val="0"/>
                <w:sz w:val="24"/>
              </w:rPr>
              <w:t>1、质量安全可靠（4分）</w:t>
            </w:r>
          </w:p>
        </w:tc>
      </w:tr>
      <w:tr>
        <w:tblPrEx>
          <w:tblLayout w:type="fixed"/>
          <w:tblCellMar>
            <w:top w:w="15" w:type="dxa"/>
            <w:left w:w="108" w:type="dxa"/>
            <w:bottom w:w="15" w:type="dxa"/>
            <w:right w:w="108" w:type="dxa"/>
          </w:tblCellMar>
        </w:tblPrEx>
        <w:trPr>
          <w:trHeight w:val="5841" w:hRule="atLeast"/>
        </w:trPr>
        <w:tc>
          <w:tcPr>
            <w:tcW w:w="158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4"/>
              </w:rPr>
            </w:pPr>
          </w:p>
        </w:tc>
        <w:tc>
          <w:tcPr>
            <w:tcW w:w="241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销售的所有肉菜应当符合食品安全国家标准，在提出正式申请创建日期以前连续2年监督抽检未发现因管理不善造成的销售不合格食用农产品（下面统称肉菜）问题。</w:t>
            </w:r>
          </w:p>
        </w:tc>
        <w:tc>
          <w:tcPr>
            <w:tcW w:w="32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ascii="宋体" w:hAnsi="宋体" w:cs="宋体"/>
                <w:color w:val="000000"/>
                <w:kern w:val="0"/>
                <w:sz w:val="22"/>
                <w:szCs w:val="22"/>
              </w:rPr>
              <w:t>1.1提出正式申请创建日期以前连续2年监督抽检未发现销售不合格肉菜问题（+3分）</w:t>
            </w:r>
          </w:p>
        </w:tc>
        <w:tc>
          <w:tcPr>
            <w:tcW w:w="182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调阅2年内的监督抽检数据。</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253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《关于开展建设食品安全“守信超市”和创建“放心肉菜示范超市”活动的工作方案》的通知 沪食安办（2017）47号文（二）/1</w:t>
            </w: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4929" w:hRule="atLeast"/>
        </w:trPr>
        <w:tc>
          <w:tcPr>
            <w:tcW w:w="158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4"/>
              </w:rPr>
            </w:pPr>
          </w:p>
        </w:tc>
        <w:tc>
          <w:tcPr>
            <w:tcW w:w="241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32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1.2提出正式申请创建日期以前连续2年监督抽检，未发现因管理疏忽和/或缺乏监控造成的不合格肉菜问题，且能主动解决问题，降低风险（+1分）</w:t>
            </w:r>
          </w:p>
        </w:tc>
        <w:tc>
          <w:tcPr>
            <w:tcW w:w="182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253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8"/>
                <w:szCs w:val="28"/>
              </w:rPr>
            </w:pPr>
          </w:p>
        </w:tc>
      </w:tr>
      <w:tr>
        <w:tblPrEx>
          <w:tblLayout w:type="fixed"/>
          <w:tblCellMar>
            <w:top w:w="15" w:type="dxa"/>
            <w:left w:w="108" w:type="dxa"/>
            <w:bottom w:w="15" w:type="dxa"/>
            <w:right w:w="108" w:type="dxa"/>
          </w:tblCellMar>
        </w:tblPrEx>
        <w:trPr>
          <w:trHeight w:val="398" w:hRule="atLeast"/>
        </w:trPr>
        <w:tc>
          <w:tcPr>
            <w:tcW w:w="14611"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4"/>
              </w:rPr>
            </w:pPr>
            <w:r>
              <w:rPr>
                <w:rFonts w:hint="eastAsia" w:ascii="宋体" w:hAnsi="宋体" w:cs="宋体"/>
                <w:b/>
                <w:bCs/>
                <w:color w:val="000000"/>
                <w:kern w:val="0"/>
                <w:sz w:val="24"/>
              </w:rPr>
              <w:t>2、肉菜优质精品（10分）</w:t>
            </w:r>
          </w:p>
        </w:tc>
      </w:tr>
      <w:tr>
        <w:tblPrEx>
          <w:tblLayout w:type="fixed"/>
          <w:tblCellMar>
            <w:top w:w="15" w:type="dxa"/>
            <w:left w:w="108" w:type="dxa"/>
            <w:bottom w:w="15" w:type="dxa"/>
            <w:right w:w="108" w:type="dxa"/>
          </w:tblCellMar>
        </w:tblPrEx>
        <w:trPr>
          <w:trHeight w:val="1056" w:hRule="atLeast"/>
        </w:trPr>
        <w:tc>
          <w:tcPr>
            <w:tcW w:w="158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4"/>
              </w:rPr>
            </w:pPr>
          </w:p>
        </w:tc>
        <w:tc>
          <w:tcPr>
            <w:tcW w:w="241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按照“优质优价”的市场机制，设立有机食品、绿色农产品、供港食用农产品基地直供等优质精品肉菜专柜，公开承诺符合认证时的质量安全标准要求，并依照相关要求实施检验检测，实现同标同检。</w:t>
            </w:r>
          </w:p>
        </w:tc>
        <w:tc>
          <w:tcPr>
            <w:tcW w:w="32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2.1设立有机食品优质精品肉菜专柜，且专柜售卖该类肉菜品类达6个以上，加3分；3-5个加2分；1-2个加1分（+3分）</w:t>
            </w:r>
          </w:p>
        </w:tc>
        <w:tc>
          <w:tcPr>
            <w:tcW w:w="182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现场查看是否设置相关专柜、带包装农产品的覆盖率、明显标注标识。</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8"/>
                <w:szCs w:val="28"/>
              </w:rPr>
            </w:pPr>
          </w:p>
        </w:tc>
        <w:tc>
          <w:tcPr>
            <w:tcW w:w="253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沪食安办（2017）47号文（二）/2</w:t>
            </w:r>
          </w:p>
        </w:tc>
        <w:tc>
          <w:tcPr>
            <w:tcW w:w="163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8"/>
                <w:szCs w:val="28"/>
              </w:rPr>
            </w:pPr>
          </w:p>
        </w:tc>
      </w:tr>
      <w:tr>
        <w:tblPrEx>
          <w:tblLayout w:type="fixed"/>
          <w:tblCellMar>
            <w:top w:w="15" w:type="dxa"/>
            <w:left w:w="108" w:type="dxa"/>
            <w:bottom w:w="15" w:type="dxa"/>
            <w:right w:w="108" w:type="dxa"/>
          </w:tblCellMar>
        </w:tblPrEx>
        <w:trPr>
          <w:trHeight w:val="1041" w:hRule="atLeast"/>
        </w:trPr>
        <w:tc>
          <w:tcPr>
            <w:tcW w:w="158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4"/>
              </w:rPr>
            </w:pPr>
          </w:p>
        </w:tc>
        <w:tc>
          <w:tcPr>
            <w:tcW w:w="241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32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2.2设立绿色农产品优质精品肉菜专柜，且专柜售卖该类肉菜品类3-5个加2分；1-2个加1分（+2分）</w:t>
            </w:r>
          </w:p>
        </w:tc>
        <w:tc>
          <w:tcPr>
            <w:tcW w:w="182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8"/>
                <w:szCs w:val="28"/>
              </w:rPr>
            </w:pPr>
          </w:p>
        </w:tc>
        <w:tc>
          <w:tcPr>
            <w:tcW w:w="253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163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8"/>
                <w:szCs w:val="28"/>
              </w:rPr>
            </w:pPr>
          </w:p>
        </w:tc>
      </w:tr>
      <w:tr>
        <w:tblPrEx>
          <w:tblLayout w:type="fixed"/>
          <w:tblCellMar>
            <w:top w:w="15" w:type="dxa"/>
            <w:left w:w="108" w:type="dxa"/>
            <w:bottom w:w="15" w:type="dxa"/>
            <w:right w:w="108" w:type="dxa"/>
          </w:tblCellMar>
        </w:tblPrEx>
        <w:trPr>
          <w:trHeight w:val="781" w:hRule="atLeast"/>
        </w:trPr>
        <w:tc>
          <w:tcPr>
            <w:tcW w:w="158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4"/>
              </w:rPr>
            </w:pPr>
          </w:p>
        </w:tc>
        <w:tc>
          <w:tcPr>
            <w:tcW w:w="241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32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2.3设立GAP优质精品肉菜专柜，且专柜售卖该类肉菜品类3-5个加2分；1-2个加1分（+2分）</w:t>
            </w:r>
          </w:p>
        </w:tc>
        <w:tc>
          <w:tcPr>
            <w:tcW w:w="182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8"/>
                <w:szCs w:val="28"/>
              </w:rPr>
            </w:pPr>
          </w:p>
        </w:tc>
        <w:tc>
          <w:tcPr>
            <w:tcW w:w="253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163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8"/>
                <w:szCs w:val="28"/>
              </w:rPr>
            </w:pPr>
          </w:p>
        </w:tc>
      </w:tr>
      <w:tr>
        <w:tblPrEx>
          <w:tblLayout w:type="fixed"/>
          <w:tblCellMar>
            <w:top w:w="15" w:type="dxa"/>
            <w:left w:w="108" w:type="dxa"/>
            <w:bottom w:w="15" w:type="dxa"/>
            <w:right w:w="108" w:type="dxa"/>
          </w:tblCellMar>
        </w:tblPrEx>
        <w:trPr>
          <w:trHeight w:val="781" w:hRule="atLeast"/>
        </w:trPr>
        <w:tc>
          <w:tcPr>
            <w:tcW w:w="158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4"/>
              </w:rPr>
            </w:pPr>
          </w:p>
        </w:tc>
        <w:tc>
          <w:tcPr>
            <w:tcW w:w="241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32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2.4设立其他优质精品肉菜专柜，且专柜售卖该类肉菜品类3-5个加2分；1-2个加1分（+1分）</w:t>
            </w:r>
          </w:p>
        </w:tc>
        <w:tc>
          <w:tcPr>
            <w:tcW w:w="182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8"/>
                <w:szCs w:val="28"/>
              </w:rPr>
            </w:pPr>
          </w:p>
        </w:tc>
        <w:tc>
          <w:tcPr>
            <w:tcW w:w="253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163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8"/>
                <w:szCs w:val="28"/>
              </w:rPr>
            </w:pPr>
          </w:p>
        </w:tc>
      </w:tr>
      <w:tr>
        <w:tblPrEx>
          <w:tblLayout w:type="fixed"/>
          <w:tblCellMar>
            <w:top w:w="15" w:type="dxa"/>
            <w:left w:w="108" w:type="dxa"/>
            <w:bottom w:w="15" w:type="dxa"/>
            <w:right w:w="108" w:type="dxa"/>
          </w:tblCellMar>
        </w:tblPrEx>
        <w:trPr>
          <w:trHeight w:val="1364" w:hRule="atLeast"/>
        </w:trPr>
        <w:tc>
          <w:tcPr>
            <w:tcW w:w="158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4"/>
              </w:rPr>
            </w:pPr>
          </w:p>
        </w:tc>
        <w:tc>
          <w:tcPr>
            <w:tcW w:w="241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32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2.5检查在专柜处附有公开承诺书，承诺符合认证时的质量安全标准要求，并依照相关要求实施检验检测，实现同标同检。（+1分）</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现场查看承诺书要涵盖其所宣称产品属性确实满足相关标准要求</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8"/>
                <w:szCs w:val="28"/>
              </w:rPr>
            </w:pPr>
          </w:p>
        </w:tc>
        <w:tc>
          <w:tcPr>
            <w:tcW w:w="253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163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8"/>
                <w:szCs w:val="28"/>
              </w:rPr>
            </w:pPr>
          </w:p>
        </w:tc>
      </w:tr>
      <w:tr>
        <w:tblPrEx>
          <w:tblLayout w:type="fixed"/>
          <w:tblCellMar>
            <w:top w:w="15" w:type="dxa"/>
            <w:left w:w="108" w:type="dxa"/>
            <w:bottom w:w="15" w:type="dxa"/>
            <w:right w:w="108" w:type="dxa"/>
          </w:tblCellMar>
        </w:tblPrEx>
        <w:trPr>
          <w:trHeight w:val="398" w:hRule="atLeast"/>
        </w:trPr>
        <w:tc>
          <w:tcPr>
            <w:tcW w:w="14611"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4"/>
              </w:rPr>
            </w:pPr>
            <w:r>
              <w:rPr>
                <w:rFonts w:hint="eastAsia" w:ascii="宋体" w:hAnsi="宋体" w:cs="宋体"/>
                <w:b/>
                <w:bCs/>
                <w:color w:val="000000"/>
                <w:kern w:val="0"/>
                <w:sz w:val="24"/>
              </w:rPr>
              <w:t>3、管理体系完备（12分）</w:t>
            </w:r>
          </w:p>
        </w:tc>
      </w:tr>
      <w:tr>
        <w:tblPrEx>
          <w:tblLayout w:type="fixed"/>
          <w:tblCellMar>
            <w:top w:w="15" w:type="dxa"/>
            <w:left w:w="108" w:type="dxa"/>
            <w:bottom w:w="15" w:type="dxa"/>
            <w:right w:w="108" w:type="dxa"/>
          </w:tblCellMar>
        </w:tblPrEx>
        <w:trPr>
          <w:trHeight w:val="4012" w:hRule="atLeast"/>
        </w:trPr>
        <w:tc>
          <w:tcPr>
            <w:tcW w:w="158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4"/>
              </w:rPr>
            </w:pPr>
          </w:p>
        </w:tc>
        <w:tc>
          <w:tcPr>
            <w:tcW w:w="241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建立完善肉菜等食用农产品质量安全管理体系，设立食品安全管理机构并配备专职的食品安全管理人员。食品安全管理人员应全部经培训考核合格。</w:t>
            </w:r>
          </w:p>
        </w:tc>
        <w:tc>
          <w:tcPr>
            <w:tcW w:w="32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ascii="宋体" w:hAnsi="宋体" w:cs="宋体"/>
                <w:color w:val="000000"/>
                <w:kern w:val="0"/>
                <w:sz w:val="22"/>
                <w:szCs w:val="22"/>
              </w:rPr>
              <w:t>3.1建立有完善的肉菜等食用农产品质量安全管理体系文件：随机抽查3个程序文件，验证管理制度和相应记录的有效性和完整性。（+3分）</w:t>
            </w:r>
            <w:r>
              <w:rPr>
                <w:rFonts w:hint="eastAsia" w:ascii="宋体" w:hAnsi="宋体" w:cs="宋体"/>
                <w:color w:val="000000"/>
                <w:kern w:val="0"/>
                <w:sz w:val="22"/>
                <w:szCs w:val="22"/>
              </w:rPr>
              <w:br w:type="textWrapping"/>
            </w:r>
            <w:r>
              <w:rPr>
                <w:rFonts w:ascii="宋体" w:hAnsi="宋体" w:cs="宋体"/>
                <w:color w:val="000000"/>
                <w:kern w:val="0"/>
                <w:sz w:val="22"/>
                <w:szCs w:val="22"/>
              </w:rPr>
              <w:t>●有1个文件符合，+1分；2个文件，+2分；直至3分加满</w:t>
            </w:r>
          </w:p>
        </w:tc>
        <w:tc>
          <w:tcPr>
            <w:tcW w:w="1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程序文件包含但不限于：食品安全自查制度、进货查验和查验记录制度、从业人员健康管理及培训制度、食品安全管理员制度、场所及设施设备清洗消毒和维修保养制度、食品安全全程追溯、废弃物处置制度、信息公示、问题食品召回等</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8"/>
                <w:szCs w:val="28"/>
              </w:rPr>
            </w:pPr>
          </w:p>
        </w:tc>
        <w:tc>
          <w:tcPr>
            <w:tcW w:w="25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《上海市食品经营许可管理实施办法（试行）2017》 第十三条 及 《食用农产品市场销售质量安全监督管理办法》国食药监第20号令 第三十条</w:t>
            </w: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8"/>
                <w:szCs w:val="28"/>
              </w:rPr>
            </w:pPr>
          </w:p>
        </w:tc>
      </w:tr>
      <w:tr>
        <w:tblPrEx>
          <w:tblLayout w:type="fixed"/>
          <w:tblCellMar>
            <w:top w:w="15" w:type="dxa"/>
            <w:left w:w="108" w:type="dxa"/>
            <w:bottom w:w="15" w:type="dxa"/>
            <w:right w:w="108" w:type="dxa"/>
          </w:tblCellMar>
        </w:tblPrEx>
        <w:trPr>
          <w:trHeight w:val="949" w:hRule="atLeast"/>
        </w:trPr>
        <w:tc>
          <w:tcPr>
            <w:tcW w:w="158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4"/>
              </w:rPr>
            </w:pPr>
          </w:p>
        </w:tc>
        <w:tc>
          <w:tcPr>
            <w:tcW w:w="241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32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3.2建立完整的食品安全事故处置方案（+1分）</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查看食品安全事故处置制度及相关记录</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8"/>
                <w:szCs w:val="28"/>
              </w:rPr>
            </w:pPr>
          </w:p>
        </w:tc>
        <w:tc>
          <w:tcPr>
            <w:tcW w:w="253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《食用农产品市场销售质量安全监督管理办法》国食药监第20号令 第三十一条</w:t>
            </w: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8"/>
                <w:szCs w:val="28"/>
              </w:rPr>
            </w:pPr>
          </w:p>
        </w:tc>
      </w:tr>
      <w:tr>
        <w:tblPrEx>
          <w:tblLayout w:type="fixed"/>
          <w:tblCellMar>
            <w:top w:w="15" w:type="dxa"/>
            <w:left w:w="108" w:type="dxa"/>
            <w:bottom w:w="15" w:type="dxa"/>
            <w:right w:w="108" w:type="dxa"/>
          </w:tblCellMar>
        </w:tblPrEx>
        <w:trPr>
          <w:trHeight w:val="1669" w:hRule="atLeast"/>
        </w:trPr>
        <w:tc>
          <w:tcPr>
            <w:tcW w:w="158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4"/>
              </w:rPr>
            </w:pPr>
          </w:p>
        </w:tc>
        <w:tc>
          <w:tcPr>
            <w:tcW w:w="241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32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3.3建立的食品安全事故处置方案有效并定期验证（+2分）</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●抽查一个批次，请相关人员现场模拟操作。符合处置方案要求，+1分；</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●有历史模拟记录，+1分；</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抽查一个批次，请相关人员现场模拟操作；查看企业是否定期进行事故处置的演练</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8"/>
                <w:szCs w:val="28"/>
              </w:rPr>
            </w:pPr>
          </w:p>
        </w:tc>
        <w:tc>
          <w:tcPr>
            <w:tcW w:w="253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8"/>
                <w:szCs w:val="28"/>
              </w:rPr>
            </w:pPr>
          </w:p>
        </w:tc>
      </w:tr>
      <w:tr>
        <w:tblPrEx>
          <w:tblLayout w:type="fixed"/>
          <w:tblCellMar>
            <w:top w:w="15" w:type="dxa"/>
            <w:left w:w="108" w:type="dxa"/>
            <w:bottom w:w="15" w:type="dxa"/>
            <w:right w:w="108" w:type="dxa"/>
          </w:tblCellMar>
        </w:tblPrEx>
        <w:trPr>
          <w:trHeight w:val="1409" w:hRule="atLeast"/>
        </w:trPr>
        <w:tc>
          <w:tcPr>
            <w:tcW w:w="158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4"/>
              </w:rPr>
            </w:pPr>
          </w:p>
        </w:tc>
        <w:tc>
          <w:tcPr>
            <w:tcW w:w="241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32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3.4设立食品安全质量管理机构，独立于其他运营部分；各部门职权明确。主要负责人对食品安全负总责，并形成相应制度文件（+1分）</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查看组织机构图、部门及岗位职责、食品安全管理员制度</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8"/>
                <w:szCs w:val="28"/>
              </w:rPr>
            </w:pPr>
          </w:p>
        </w:tc>
        <w:tc>
          <w:tcPr>
            <w:tcW w:w="253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食品安全监督检查标准规程(流通)A2011、A2013 及《中共上海市委办公厅 上海市人民政府办公厅印发〈上海市建设市民满意的食品安全城市行动方案〉的通知》</w:t>
            </w: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8"/>
                <w:szCs w:val="28"/>
              </w:rPr>
            </w:pPr>
          </w:p>
        </w:tc>
      </w:tr>
      <w:tr>
        <w:tblPrEx>
          <w:tblLayout w:type="fixed"/>
          <w:tblCellMar>
            <w:top w:w="15" w:type="dxa"/>
            <w:left w:w="108" w:type="dxa"/>
            <w:bottom w:w="15" w:type="dxa"/>
            <w:right w:w="108" w:type="dxa"/>
          </w:tblCellMar>
        </w:tblPrEx>
        <w:trPr>
          <w:trHeight w:val="1838" w:hRule="atLeast"/>
        </w:trPr>
        <w:tc>
          <w:tcPr>
            <w:tcW w:w="158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4"/>
              </w:rPr>
            </w:pPr>
          </w:p>
        </w:tc>
        <w:tc>
          <w:tcPr>
            <w:tcW w:w="241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32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3.5专职食品安全管理员经过食品药品监督总局开发的食品安全管理人员监督抽查在线考核平台，且考核成绩合格（+1分）</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●查看考核记录</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8"/>
                <w:szCs w:val="28"/>
              </w:rPr>
            </w:pPr>
          </w:p>
        </w:tc>
        <w:tc>
          <w:tcPr>
            <w:tcW w:w="253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8"/>
                <w:szCs w:val="28"/>
              </w:rPr>
            </w:pPr>
          </w:p>
        </w:tc>
      </w:tr>
      <w:tr>
        <w:tblPrEx>
          <w:tblLayout w:type="fixed"/>
          <w:tblCellMar>
            <w:top w:w="15" w:type="dxa"/>
            <w:left w:w="108" w:type="dxa"/>
            <w:bottom w:w="15" w:type="dxa"/>
            <w:right w:w="108" w:type="dxa"/>
          </w:tblCellMar>
        </w:tblPrEx>
        <w:trPr>
          <w:trHeight w:val="4132" w:hRule="atLeast"/>
        </w:trPr>
        <w:tc>
          <w:tcPr>
            <w:tcW w:w="158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4"/>
              </w:rPr>
            </w:pPr>
          </w:p>
        </w:tc>
        <w:tc>
          <w:tcPr>
            <w:tcW w:w="241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32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3.6专职食品安全管理员全部接受专业培训，且熟悉食品安全管理相关知识（+2分）</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●询问问安全管理员，能正确回答冷冻肉菜存储温度、中心温度及保质期，加1分；</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●查看培训记录，记录真实有效加1分</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食品安全管理人员每年应接受不少于60学时的食品安全专业培训</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8"/>
                <w:szCs w:val="28"/>
              </w:rPr>
            </w:pPr>
          </w:p>
        </w:tc>
        <w:tc>
          <w:tcPr>
            <w:tcW w:w="253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8"/>
                <w:szCs w:val="28"/>
              </w:rPr>
            </w:pPr>
          </w:p>
        </w:tc>
      </w:tr>
      <w:tr>
        <w:tblPrEx>
          <w:tblLayout w:type="fixed"/>
          <w:tblCellMar>
            <w:top w:w="15" w:type="dxa"/>
            <w:left w:w="108" w:type="dxa"/>
            <w:bottom w:w="15" w:type="dxa"/>
            <w:right w:w="108" w:type="dxa"/>
          </w:tblCellMar>
        </w:tblPrEx>
        <w:trPr>
          <w:trHeight w:val="3506" w:hRule="atLeast"/>
        </w:trPr>
        <w:tc>
          <w:tcPr>
            <w:tcW w:w="158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4"/>
              </w:rPr>
            </w:pPr>
          </w:p>
        </w:tc>
        <w:tc>
          <w:tcPr>
            <w:tcW w:w="241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32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3.7请食品安全第三方专业机构建立质量安全管理体系，或对自身已建立的体系进行评价，并保留检查报告（+2分，与3.1重合部分，不另行加分）</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●有第三方咨询报告或评价报告，加2分</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查看第三方咨询报告或评价报告</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8"/>
                <w:szCs w:val="28"/>
              </w:rPr>
            </w:pPr>
          </w:p>
        </w:tc>
        <w:tc>
          <w:tcPr>
            <w:tcW w:w="25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《食品生产经营日常监督检查管理办法》国食药监第23号 第18条</w:t>
            </w: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8"/>
                <w:szCs w:val="28"/>
              </w:rPr>
            </w:pPr>
          </w:p>
        </w:tc>
      </w:tr>
      <w:tr>
        <w:tblPrEx>
          <w:tblLayout w:type="fixed"/>
          <w:tblCellMar>
            <w:top w:w="15" w:type="dxa"/>
            <w:left w:w="108" w:type="dxa"/>
            <w:bottom w:w="15" w:type="dxa"/>
            <w:right w:w="108" w:type="dxa"/>
          </w:tblCellMar>
        </w:tblPrEx>
        <w:trPr>
          <w:trHeight w:val="398" w:hRule="atLeast"/>
        </w:trPr>
        <w:tc>
          <w:tcPr>
            <w:tcW w:w="14611"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4"/>
              </w:rPr>
            </w:pPr>
            <w:r>
              <w:rPr>
                <w:rFonts w:hint="eastAsia" w:ascii="宋体" w:hAnsi="宋体" w:cs="宋体"/>
                <w:b/>
                <w:bCs/>
                <w:color w:val="000000"/>
                <w:kern w:val="0"/>
                <w:sz w:val="24"/>
              </w:rPr>
              <w:t>4、控制标准严格（20分）</w:t>
            </w:r>
          </w:p>
        </w:tc>
      </w:tr>
      <w:tr>
        <w:tblPrEx>
          <w:tblLayout w:type="fixed"/>
          <w:tblCellMar>
            <w:top w:w="15" w:type="dxa"/>
            <w:left w:w="108" w:type="dxa"/>
            <w:bottom w:w="15" w:type="dxa"/>
            <w:right w:w="108" w:type="dxa"/>
          </w:tblCellMar>
        </w:tblPrEx>
        <w:trPr>
          <w:trHeight w:val="3460" w:hRule="atLeast"/>
        </w:trPr>
        <w:tc>
          <w:tcPr>
            <w:tcW w:w="158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4"/>
              </w:rPr>
            </w:pPr>
            <w:r>
              <w:rPr>
                <w:rFonts w:hint="eastAsia" w:ascii="宋体" w:hAnsi="宋体" w:cs="宋体"/>
                <w:b/>
                <w:bCs/>
                <w:color w:val="000000"/>
                <w:kern w:val="0"/>
                <w:sz w:val="24"/>
              </w:rPr>
              <w:t>4.1</w:t>
            </w:r>
          </w:p>
        </w:tc>
        <w:tc>
          <w:tcPr>
            <w:tcW w:w="241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严格执行食品安全国家标准，主动借鉴国外先进的食用农产品采购、销售和质量安全检验检测标准和规范，结合经营管理实际，制定更加严格的肉菜等食用农产品质量安全标准和经营过程规范，包括采购、贮存和运输质量安全控制标准、包装和标签标识标准。    </w:t>
            </w:r>
          </w:p>
        </w:tc>
        <w:tc>
          <w:tcPr>
            <w:tcW w:w="32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4.1.1建立肉菜经营过程（包括采购、运输、储存、销售、再加工/切割等）的控制程序，专柜销售带包装的肉菜覆盖程度达到70%以上。（+5分）</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 xml:space="preserve">●有1个有效的程序文件，加1分；直至3分加满     </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●达70%以上的，加2分</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查看程序文件，是否包含冷链管理，基地规范化，不同种类、不同包装形式、不同售卖方式设定散装肉菜的保质期管理，售卖标准、包装标准以避免随意挑选和二次污染，确保安全和新鲜度等</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8"/>
                <w:szCs w:val="28"/>
              </w:rPr>
            </w:pPr>
          </w:p>
        </w:tc>
        <w:tc>
          <w:tcPr>
            <w:tcW w:w="2535" w:type="dxa"/>
            <w:tcBorders>
              <w:left w:val="single" w:color="000000" w:sz="4" w:space="0"/>
              <w:right w:val="single" w:color="000000" w:sz="4" w:space="0"/>
            </w:tcBorders>
            <w:shd w:val="clear" w:color="auto" w:fill="FFFFFF"/>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《“放心肉菜示范超市”验收标准》总局下发</w:t>
            </w: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8"/>
                <w:szCs w:val="28"/>
              </w:rPr>
            </w:pPr>
          </w:p>
        </w:tc>
      </w:tr>
      <w:tr>
        <w:tblPrEx>
          <w:tblLayout w:type="fixed"/>
          <w:tblCellMar>
            <w:top w:w="15" w:type="dxa"/>
            <w:left w:w="108" w:type="dxa"/>
            <w:bottom w:w="15" w:type="dxa"/>
            <w:right w:w="108" w:type="dxa"/>
          </w:tblCellMar>
        </w:tblPrEx>
        <w:trPr>
          <w:trHeight w:val="2083" w:hRule="atLeast"/>
        </w:trPr>
        <w:tc>
          <w:tcPr>
            <w:tcW w:w="158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4"/>
              </w:rPr>
            </w:pPr>
          </w:p>
        </w:tc>
        <w:tc>
          <w:tcPr>
            <w:tcW w:w="241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32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4.1.2经营过程的控制程序需引入风险评估，根据HACCP原理，风险分析科学合理（+2分）</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●有HACCP危害分析表，+1分</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●有关键控制点控制表，+1分</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查看经营过程中所有步骤的风险分析表，是否正确分解分析，关键控制点和关键值设立是否合理，有效规避风险；</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8"/>
                <w:szCs w:val="28"/>
              </w:rPr>
            </w:pPr>
          </w:p>
        </w:tc>
        <w:tc>
          <w:tcPr>
            <w:tcW w:w="253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《食用农产品市场销售质量安全监督管理办法》国食药监第20号令 第四条</w:t>
            </w: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8"/>
                <w:szCs w:val="28"/>
              </w:rPr>
            </w:pPr>
          </w:p>
        </w:tc>
      </w:tr>
      <w:tr>
        <w:tblPrEx>
          <w:tblLayout w:type="fixed"/>
          <w:tblCellMar>
            <w:top w:w="15" w:type="dxa"/>
            <w:left w:w="108" w:type="dxa"/>
            <w:bottom w:w="15" w:type="dxa"/>
            <w:right w:w="108" w:type="dxa"/>
          </w:tblCellMar>
        </w:tblPrEx>
        <w:trPr>
          <w:trHeight w:val="1654" w:hRule="atLeast"/>
        </w:trPr>
        <w:tc>
          <w:tcPr>
            <w:tcW w:w="158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4"/>
              </w:rPr>
            </w:pPr>
          </w:p>
        </w:tc>
        <w:tc>
          <w:tcPr>
            <w:tcW w:w="241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32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4.1.3定期验证和评价过程的符合性（+2分）</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●有评审报告，加1分</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●有相应的整改报告，加1分</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查看评审报告，是否做到纠偏和预防再次发生相同事故</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8"/>
                <w:szCs w:val="28"/>
              </w:rPr>
            </w:pPr>
          </w:p>
        </w:tc>
        <w:tc>
          <w:tcPr>
            <w:tcW w:w="253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8"/>
                <w:szCs w:val="28"/>
              </w:rPr>
            </w:pPr>
          </w:p>
        </w:tc>
      </w:tr>
      <w:tr>
        <w:tblPrEx>
          <w:tblLayout w:type="fixed"/>
          <w:tblCellMar>
            <w:top w:w="15" w:type="dxa"/>
            <w:left w:w="108" w:type="dxa"/>
            <w:bottom w:w="15" w:type="dxa"/>
            <w:right w:w="108" w:type="dxa"/>
          </w:tblCellMar>
        </w:tblPrEx>
        <w:trPr>
          <w:trHeight w:val="2206" w:hRule="atLeast"/>
        </w:trPr>
        <w:tc>
          <w:tcPr>
            <w:tcW w:w="158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4"/>
              </w:rPr>
            </w:pPr>
          </w:p>
        </w:tc>
        <w:tc>
          <w:tcPr>
            <w:tcW w:w="241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32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4.1.4制定有肉菜标签标识的检查标准（+2分）</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●有一种肉菜的标签检查标准，+1分；直至2分加满</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查看规程，对包装肉菜，散装肉菜，认证肉菜和进口肉菜规定了检查频率，抽样比例等能否保证标签有效管理</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8"/>
                <w:szCs w:val="28"/>
              </w:rPr>
            </w:pPr>
          </w:p>
        </w:tc>
        <w:tc>
          <w:tcPr>
            <w:tcW w:w="253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《食用农产品市场销售质量安全监督管理办法》国食药监第20号令 第三十二条~三十五条</w:t>
            </w: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8"/>
                <w:szCs w:val="28"/>
              </w:rPr>
            </w:pPr>
          </w:p>
        </w:tc>
      </w:tr>
      <w:tr>
        <w:tblPrEx>
          <w:tblLayout w:type="fixed"/>
          <w:tblCellMar>
            <w:top w:w="15" w:type="dxa"/>
            <w:left w:w="108" w:type="dxa"/>
            <w:bottom w:w="15" w:type="dxa"/>
            <w:right w:w="108" w:type="dxa"/>
          </w:tblCellMar>
        </w:tblPrEx>
        <w:trPr>
          <w:trHeight w:val="1792" w:hRule="atLeast"/>
        </w:trPr>
        <w:tc>
          <w:tcPr>
            <w:tcW w:w="158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4"/>
              </w:rPr>
            </w:pPr>
          </w:p>
        </w:tc>
        <w:tc>
          <w:tcPr>
            <w:tcW w:w="241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321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宋体" w:hAnsi="宋体" w:cs="宋体"/>
                <w:color w:val="000000"/>
                <w:kern w:val="0"/>
                <w:sz w:val="22"/>
                <w:szCs w:val="22"/>
              </w:rPr>
            </w:pPr>
            <w:r>
              <w:rPr>
                <w:rFonts w:hint="eastAsia" w:ascii="宋体" w:hAnsi="宋体" w:cs="宋体"/>
                <w:color w:val="000000"/>
                <w:kern w:val="0"/>
                <w:sz w:val="22"/>
                <w:szCs w:val="22"/>
              </w:rPr>
              <w:t>4.1.5制定有认证标识的验证规程，且科学合理。（+2分）</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●有1种认证标识的验证方法程序，加1分；直至2分加满</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宋体" w:hAnsi="宋体" w:cs="宋体"/>
                <w:color w:val="000000"/>
                <w:kern w:val="0"/>
                <w:sz w:val="22"/>
                <w:szCs w:val="22"/>
              </w:rPr>
            </w:pPr>
            <w:r>
              <w:rPr>
                <w:rFonts w:hint="eastAsia" w:ascii="宋体" w:hAnsi="宋体" w:cs="宋体"/>
                <w:color w:val="000000"/>
                <w:kern w:val="0"/>
                <w:sz w:val="22"/>
                <w:szCs w:val="22"/>
              </w:rPr>
              <w:t>查看程序，对有机，绿色，GAP等优质肉菜是否定期索证，如何核实证书及肉菜品的真伪</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8"/>
                <w:szCs w:val="28"/>
              </w:rPr>
            </w:pPr>
          </w:p>
        </w:tc>
        <w:tc>
          <w:tcPr>
            <w:tcW w:w="253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8"/>
                <w:szCs w:val="28"/>
              </w:rPr>
            </w:pPr>
          </w:p>
        </w:tc>
      </w:tr>
      <w:tr>
        <w:tblPrEx>
          <w:tblLayout w:type="fixed"/>
          <w:tblCellMar>
            <w:top w:w="15" w:type="dxa"/>
            <w:left w:w="108" w:type="dxa"/>
            <w:bottom w:w="15" w:type="dxa"/>
            <w:right w:w="108" w:type="dxa"/>
          </w:tblCellMar>
        </w:tblPrEx>
        <w:trPr>
          <w:trHeight w:val="1869" w:hRule="atLeast"/>
        </w:trPr>
        <w:tc>
          <w:tcPr>
            <w:tcW w:w="1589" w:type="dxa"/>
            <w:vMerge w:val="continue"/>
            <w:tcBorders>
              <w:top w:val="single" w:color="000000" w:sz="4" w:space="0"/>
              <w:left w:val="single" w:color="000000" w:sz="4" w:space="0"/>
              <w:bottom w:val="single" w:color="auto" w:sz="4" w:space="0"/>
              <w:right w:val="single" w:color="000000" w:sz="4" w:space="0"/>
            </w:tcBorders>
            <w:vAlign w:val="center"/>
          </w:tcPr>
          <w:p>
            <w:pPr>
              <w:widowControl/>
              <w:jc w:val="left"/>
              <w:rPr>
                <w:rFonts w:ascii="宋体" w:hAnsi="宋体" w:cs="宋体"/>
                <w:b/>
                <w:bCs/>
                <w:color w:val="000000"/>
                <w:kern w:val="0"/>
                <w:sz w:val="24"/>
              </w:rPr>
            </w:pPr>
          </w:p>
        </w:tc>
        <w:tc>
          <w:tcPr>
            <w:tcW w:w="2416" w:type="dxa"/>
            <w:vMerge w:val="continue"/>
            <w:tcBorders>
              <w:top w:val="single" w:color="000000" w:sz="4" w:space="0"/>
              <w:left w:val="single" w:color="000000" w:sz="4" w:space="0"/>
              <w:bottom w:val="single" w:color="auto" w:sz="4" w:space="0"/>
              <w:right w:val="single" w:color="000000" w:sz="4" w:space="0"/>
            </w:tcBorders>
            <w:vAlign w:val="center"/>
          </w:tcPr>
          <w:p>
            <w:pPr>
              <w:widowControl/>
              <w:jc w:val="left"/>
              <w:rPr>
                <w:rFonts w:ascii="宋体" w:hAnsi="宋体" w:cs="宋体"/>
                <w:color w:val="000000"/>
                <w:kern w:val="0"/>
                <w:sz w:val="22"/>
                <w:szCs w:val="22"/>
              </w:rPr>
            </w:pPr>
          </w:p>
        </w:tc>
        <w:tc>
          <w:tcPr>
            <w:tcW w:w="3217" w:type="dxa"/>
            <w:tcBorders>
              <w:top w:val="single" w:color="000000" w:sz="4" w:space="0"/>
              <w:left w:val="single" w:color="000000" w:sz="4" w:space="0"/>
              <w:bottom w:val="single" w:color="auto" w:sz="4" w:space="0"/>
              <w:right w:val="single" w:color="000000" w:sz="4" w:space="0"/>
            </w:tcBorders>
            <w:vAlign w:val="center"/>
          </w:tcPr>
          <w:p>
            <w:pPr>
              <w:widowControl/>
              <w:spacing w:line="400" w:lineRule="exact"/>
              <w:jc w:val="left"/>
              <w:rPr>
                <w:rFonts w:ascii="宋体" w:hAnsi="宋体" w:cs="宋体"/>
                <w:color w:val="000000"/>
                <w:kern w:val="0"/>
                <w:sz w:val="22"/>
                <w:szCs w:val="22"/>
              </w:rPr>
            </w:pPr>
            <w:r>
              <w:rPr>
                <w:rFonts w:hint="eastAsia" w:ascii="宋体" w:hAnsi="宋体" w:cs="宋体"/>
                <w:color w:val="000000"/>
                <w:kern w:val="0"/>
                <w:sz w:val="22"/>
                <w:szCs w:val="22"/>
              </w:rPr>
              <w:t>4.1.6制定肉菜检验检测规范：包含但不限于检测项目，抽样比例，检测频率，检测限值等（+2分）</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●检验检测规程中，有1种肉菜的检测规范加1分，直至2分加满</w:t>
            </w:r>
          </w:p>
        </w:tc>
        <w:tc>
          <w:tcPr>
            <w:tcW w:w="1822" w:type="dxa"/>
            <w:tcBorders>
              <w:top w:val="single" w:color="000000" w:sz="4" w:space="0"/>
              <w:left w:val="single" w:color="000000" w:sz="4" w:space="0"/>
              <w:bottom w:val="single" w:color="auto" w:sz="4" w:space="0"/>
              <w:right w:val="single" w:color="000000" w:sz="4" w:space="0"/>
            </w:tcBorders>
            <w:vAlign w:val="center"/>
          </w:tcPr>
          <w:p>
            <w:pPr>
              <w:widowControl/>
              <w:spacing w:line="400" w:lineRule="exact"/>
              <w:jc w:val="left"/>
              <w:rPr>
                <w:rFonts w:ascii="宋体" w:hAnsi="宋体" w:cs="宋体"/>
                <w:color w:val="000000"/>
                <w:kern w:val="0"/>
                <w:sz w:val="22"/>
                <w:szCs w:val="22"/>
              </w:rPr>
            </w:pPr>
            <w:r>
              <w:rPr>
                <w:rFonts w:hint="eastAsia" w:ascii="宋体" w:hAnsi="宋体" w:cs="宋体"/>
                <w:color w:val="000000"/>
                <w:kern w:val="0"/>
                <w:sz w:val="22"/>
                <w:szCs w:val="22"/>
              </w:rPr>
              <w:t>查看文件，内容是否齐全；检测项目及检测值是否正确，有根据</w:t>
            </w:r>
          </w:p>
        </w:tc>
        <w:tc>
          <w:tcPr>
            <w:tcW w:w="701"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701" w:type="dxa"/>
            <w:tcBorders>
              <w:top w:val="single" w:color="000000" w:sz="4" w:space="0"/>
              <w:left w:val="single" w:color="000000" w:sz="4" w:space="0"/>
              <w:bottom w:val="single" w:color="auto" w:sz="4" w:space="0"/>
              <w:right w:val="single" w:color="000000" w:sz="4" w:space="0"/>
            </w:tcBorders>
            <w:vAlign w:val="center"/>
          </w:tcPr>
          <w:p>
            <w:pPr>
              <w:widowControl/>
              <w:jc w:val="left"/>
              <w:rPr>
                <w:rFonts w:ascii="宋体" w:hAnsi="宋体" w:cs="宋体"/>
                <w:color w:val="000000"/>
                <w:kern w:val="0"/>
                <w:sz w:val="28"/>
                <w:szCs w:val="28"/>
              </w:rPr>
            </w:pPr>
          </w:p>
        </w:tc>
        <w:tc>
          <w:tcPr>
            <w:tcW w:w="2535" w:type="dxa"/>
            <w:tcBorders>
              <w:top w:val="single" w:color="000000" w:sz="4" w:space="0"/>
              <w:left w:val="single" w:color="000000" w:sz="4" w:space="0"/>
              <w:bottom w:val="single" w:color="auto"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《上海市食品经营许可管理实施办法（试行）2017》 第十三条/（十七）</w:t>
            </w:r>
          </w:p>
        </w:tc>
        <w:tc>
          <w:tcPr>
            <w:tcW w:w="1630" w:type="dxa"/>
            <w:tcBorders>
              <w:top w:val="single" w:color="000000" w:sz="4" w:space="0"/>
              <w:left w:val="single" w:color="000000" w:sz="4" w:space="0"/>
              <w:bottom w:val="single" w:color="auto" w:sz="4" w:space="0"/>
              <w:right w:val="single" w:color="000000" w:sz="4" w:space="0"/>
            </w:tcBorders>
            <w:vAlign w:val="center"/>
          </w:tcPr>
          <w:p>
            <w:pPr>
              <w:widowControl/>
              <w:jc w:val="left"/>
              <w:rPr>
                <w:rFonts w:ascii="宋体" w:hAnsi="宋体" w:cs="宋体"/>
                <w:color w:val="000000"/>
                <w:kern w:val="0"/>
                <w:sz w:val="28"/>
                <w:szCs w:val="28"/>
              </w:rPr>
            </w:pPr>
          </w:p>
        </w:tc>
      </w:tr>
      <w:tr>
        <w:tblPrEx>
          <w:tblLayout w:type="fixed"/>
          <w:tblCellMar>
            <w:top w:w="15" w:type="dxa"/>
            <w:left w:w="108" w:type="dxa"/>
            <w:bottom w:w="15" w:type="dxa"/>
            <w:right w:w="108" w:type="dxa"/>
          </w:tblCellMar>
        </w:tblPrEx>
        <w:trPr>
          <w:trHeight w:val="1239" w:hRule="atLeast"/>
        </w:trPr>
        <w:tc>
          <w:tcPr>
            <w:tcW w:w="158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4"/>
              </w:rPr>
            </w:pPr>
          </w:p>
        </w:tc>
        <w:tc>
          <w:tcPr>
            <w:tcW w:w="24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321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left"/>
              <w:rPr>
                <w:rFonts w:ascii="宋体" w:hAnsi="宋体" w:cs="宋体"/>
                <w:color w:val="000000"/>
                <w:kern w:val="0"/>
                <w:sz w:val="22"/>
                <w:szCs w:val="22"/>
              </w:rPr>
            </w:pPr>
            <w:r>
              <w:rPr>
                <w:rFonts w:hint="eastAsia" w:ascii="宋体" w:hAnsi="宋体" w:cs="宋体"/>
                <w:color w:val="000000"/>
                <w:kern w:val="0"/>
                <w:sz w:val="22"/>
                <w:szCs w:val="22"/>
              </w:rPr>
              <w:t>4.1.7制定肉菜不合格品控制规范，对拒收、换货、让步接收建立明确的作业指导书，不符合检测标准的应予以合理的处置；对于报废的肉菜应采取销毁处理（+1分）</w:t>
            </w:r>
          </w:p>
        </w:tc>
        <w:tc>
          <w:tcPr>
            <w:tcW w:w="182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left"/>
              <w:rPr>
                <w:rFonts w:ascii="宋体" w:hAnsi="宋体" w:cs="宋体"/>
                <w:color w:val="000000"/>
                <w:kern w:val="0"/>
                <w:sz w:val="22"/>
                <w:szCs w:val="22"/>
              </w:rPr>
            </w:pPr>
            <w:r>
              <w:rPr>
                <w:rFonts w:hint="eastAsia" w:ascii="宋体" w:hAnsi="宋体" w:cs="宋体"/>
                <w:color w:val="000000"/>
                <w:kern w:val="0"/>
                <w:sz w:val="22"/>
                <w:szCs w:val="22"/>
              </w:rPr>
              <w:t>查看文件，及相应记录</w:t>
            </w:r>
          </w:p>
        </w:tc>
        <w:tc>
          <w:tcPr>
            <w:tcW w:w="70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70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color w:val="000000"/>
                <w:kern w:val="0"/>
                <w:sz w:val="28"/>
                <w:szCs w:val="28"/>
              </w:rPr>
            </w:pPr>
          </w:p>
        </w:tc>
        <w:tc>
          <w:tcPr>
            <w:tcW w:w="25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《“放心肉菜示范超市”审核评价表》</w:t>
            </w:r>
          </w:p>
        </w:tc>
        <w:tc>
          <w:tcPr>
            <w:tcW w:w="163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8"/>
                <w:szCs w:val="28"/>
              </w:rPr>
            </w:pPr>
          </w:p>
        </w:tc>
      </w:tr>
      <w:tr>
        <w:tblPrEx>
          <w:tblLayout w:type="fixed"/>
          <w:tblCellMar>
            <w:top w:w="15" w:type="dxa"/>
            <w:left w:w="108" w:type="dxa"/>
            <w:bottom w:w="15" w:type="dxa"/>
            <w:right w:w="108" w:type="dxa"/>
          </w:tblCellMar>
        </w:tblPrEx>
        <w:trPr>
          <w:trHeight w:val="1379" w:hRule="atLeast"/>
        </w:trPr>
        <w:tc>
          <w:tcPr>
            <w:tcW w:w="1589" w:type="dxa"/>
            <w:vMerge w:val="continue"/>
            <w:tcBorders>
              <w:top w:val="single" w:color="auto" w:sz="4" w:space="0"/>
              <w:left w:val="single" w:color="000000" w:sz="4" w:space="0"/>
              <w:bottom w:val="single" w:color="000000" w:sz="4" w:space="0"/>
              <w:right w:val="single" w:color="000000" w:sz="4" w:space="0"/>
            </w:tcBorders>
            <w:vAlign w:val="center"/>
          </w:tcPr>
          <w:p>
            <w:pPr>
              <w:widowControl/>
              <w:spacing w:line="400" w:lineRule="exact"/>
              <w:jc w:val="left"/>
              <w:rPr>
                <w:rFonts w:ascii="宋体" w:hAnsi="宋体" w:cs="宋体"/>
                <w:b/>
                <w:bCs/>
                <w:color w:val="000000"/>
                <w:kern w:val="0"/>
                <w:sz w:val="24"/>
              </w:rPr>
            </w:pPr>
          </w:p>
        </w:tc>
        <w:tc>
          <w:tcPr>
            <w:tcW w:w="2416" w:type="dxa"/>
            <w:vMerge w:val="continue"/>
            <w:tcBorders>
              <w:top w:val="single" w:color="auto" w:sz="4" w:space="0"/>
              <w:left w:val="single" w:color="000000" w:sz="4" w:space="0"/>
              <w:bottom w:val="single" w:color="000000" w:sz="4" w:space="0"/>
              <w:right w:val="single" w:color="000000" w:sz="4" w:space="0"/>
            </w:tcBorders>
            <w:vAlign w:val="center"/>
          </w:tcPr>
          <w:p>
            <w:pPr>
              <w:widowControl/>
              <w:spacing w:line="400" w:lineRule="exact"/>
              <w:jc w:val="left"/>
              <w:rPr>
                <w:rFonts w:ascii="宋体" w:hAnsi="宋体" w:cs="宋体"/>
                <w:color w:val="000000"/>
                <w:kern w:val="0"/>
                <w:sz w:val="22"/>
                <w:szCs w:val="22"/>
              </w:rPr>
            </w:pPr>
          </w:p>
        </w:tc>
        <w:tc>
          <w:tcPr>
            <w:tcW w:w="3217" w:type="dxa"/>
            <w:tcBorders>
              <w:top w:val="single" w:color="auto" w:sz="4" w:space="0"/>
              <w:left w:val="single" w:color="000000" w:sz="4" w:space="0"/>
              <w:bottom w:val="single" w:color="000000" w:sz="4" w:space="0"/>
              <w:right w:val="single" w:color="000000" w:sz="4" w:space="0"/>
            </w:tcBorders>
            <w:vAlign w:val="center"/>
          </w:tcPr>
          <w:p>
            <w:pPr>
              <w:widowControl/>
              <w:spacing w:line="400" w:lineRule="exact"/>
              <w:jc w:val="left"/>
              <w:rPr>
                <w:rFonts w:ascii="宋体" w:hAnsi="宋体" w:cs="宋体"/>
                <w:color w:val="000000"/>
                <w:kern w:val="0"/>
                <w:sz w:val="22"/>
                <w:szCs w:val="22"/>
              </w:rPr>
            </w:pPr>
            <w:r>
              <w:rPr>
                <w:rFonts w:hint="eastAsia" w:ascii="宋体" w:hAnsi="宋体" w:cs="宋体"/>
                <w:color w:val="000000"/>
                <w:kern w:val="0"/>
                <w:sz w:val="22"/>
                <w:szCs w:val="22"/>
              </w:rPr>
              <w:t>4.1.8检测涉及到试剂及废弃物交予专业处理机构（+1分）</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●有委托处理协议，加1分</w:t>
            </w:r>
          </w:p>
        </w:tc>
        <w:tc>
          <w:tcPr>
            <w:tcW w:w="1822" w:type="dxa"/>
            <w:tcBorders>
              <w:top w:val="single" w:color="auto" w:sz="4" w:space="0"/>
              <w:left w:val="single" w:color="000000" w:sz="4" w:space="0"/>
              <w:bottom w:val="single" w:color="000000" w:sz="4" w:space="0"/>
              <w:right w:val="single" w:color="000000" w:sz="4" w:space="0"/>
            </w:tcBorders>
            <w:vAlign w:val="center"/>
          </w:tcPr>
          <w:p>
            <w:pPr>
              <w:widowControl/>
              <w:spacing w:line="400" w:lineRule="exact"/>
              <w:jc w:val="left"/>
              <w:rPr>
                <w:rFonts w:ascii="宋体" w:hAnsi="宋体" w:cs="宋体"/>
                <w:color w:val="000000"/>
                <w:kern w:val="0"/>
                <w:sz w:val="22"/>
                <w:szCs w:val="22"/>
              </w:rPr>
            </w:pPr>
            <w:r>
              <w:rPr>
                <w:rFonts w:hint="eastAsia" w:ascii="宋体" w:hAnsi="宋体" w:cs="宋体"/>
                <w:color w:val="000000"/>
                <w:kern w:val="0"/>
                <w:sz w:val="22"/>
                <w:szCs w:val="22"/>
              </w:rPr>
              <w:t>查看委托处理废弃物协议，核实处理方是否有资质</w:t>
            </w:r>
          </w:p>
        </w:tc>
        <w:tc>
          <w:tcPr>
            <w:tcW w:w="701" w:type="dxa"/>
            <w:tcBorders>
              <w:top w:val="single" w:color="auto"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701" w:type="dxa"/>
            <w:tcBorders>
              <w:top w:val="single" w:color="auto" w:sz="4" w:space="0"/>
              <w:left w:val="single" w:color="000000" w:sz="4" w:space="0"/>
              <w:bottom w:val="single" w:color="000000" w:sz="4" w:space="0"/>
              <w:right w:val="single" w:color="000000" w:sz="4" w:space="0"/>
            </w:tcBorders>
            <w:vAlign w:val="center"/>
          </w:tcPr>
          <w:p>
            <w:pPr>
              <w:widowControl/>
              <w:spacing w:line="400" w:lineRule="exact"/>
              <w:jc w:val="left"/>
              <w:rPr>
                <w:rFonts w:ascii="宋体" w:hAnsi="宋体" w:cs="宋体"/>
                <w:color w:val="000000"/>
                <w:kern w:val="0"/>
                <w:sz w:val="28"/>
                <w:szCs w:val="28"/>
              </w:rPr>
            </w:pPr>
          </w:p>
        </w:tc>
        <w:tc>
          <w:tcPr>
            <w:tcW w:w="2535" w:type="dxa"/>
            <w:vMerge w:val="restart"/>
            <w:tcBorders>
              <w:top w:val="single" w:color="auto"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cs="宋体"/>
                <w:color w:val="000000"/>
                <w:kern w:val="0"/>
                <w:sz w:val="22"/>
                <w:szCs w:val="22"/>
              </w:rPr>
            </w:pPr>
            <w:r>
              <w:rPr>
                <w:rFonts w:hint="eastAsia" w:ascii="宋体" w:hAnsi="宋体" w:cs="宋体"/>
                <w:color w:val="000000"/>
                <w:kern w:val="0"/>
                <w:sz w:val="22"/>
                <w:szCs w:val="22"/>
              </w:rPr>
              <w:t xml:space="preserve">沪食安办（2017）47号文（二）/ 4 </w:t>
            </w:r>
          </w:p>
        </w:tc>
        <w:tc>
          <w:tcPr>
            <w:tcW w:w="1630" w:type="dxa"/>
            <w:tcBorders>
              <w:top w:val="single" w:color="auto" w:sz="4" w:space="0"/>
              <w:left w:val="single" w:color="000000" w:sz="4" w:space="0"/>
              <w:bottom w:val="single" w:color="000000" w:sz="4" w:space="0"/>
              <w:right w:val="single" w:color="000000" w:sz="4" w:space="0"/>
            </w:tcBorders>
            <w:vAlign w:val="center"/>
          </w:tcPr>
          <w:p>
            <w:pPr>
              <w:widowControl/>
              <w:spacing w:line="400" w:lineRule="exact"/>
              <w:jc w:val="left"/>
              <w:rPr>
                <w:rFonts w:ascii="宋体" w:hAnsi="宋体" w:cs="宋体"/>
                <w:color w:val="000000"/>
                <w:kern w:val="0"/>
                <w:sz w:val="28"/>
                <w:szCs w:val="28"/>
              </w:rPr>
            </w:pPr>
          </w:p>
        </w:tc>
      </w:tr>
      <w:tr>
        <w:tblPrEx>
          <w:tblLayout w:type="fixed"/>
          <w:tblCellMar>
            <w:top w:w="15" w:type="dxa"/>
            <w:left w:w="108" w:type="dxa"/>
            <w:bottom w:w="15" w:type="dxa"/>
            <w:right w:w="108" w:type="dxa"/>
          </w:tblCellMar>
        </w:tblPrEx>
        <w:trPr>
          <w:trHeight w:val="1470" w:hRule="atLeast"/>
        </w:trPr>
        <w:tc>
          <w:tcPr>
            <w:tcW w:w="158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宋体" w:hAnsi="宋体" w:cs="宋体"/>
                <w:b/>
                <w:bCs/>
                <w:color w:val="000000"/>
                <w:kern w:val="0"/>
                <w:sz w:val="24"/>
              </w:rPr>
            </w:pPr>
          </w:p>
        </w:tc>
        <w:tc>
          <w:tcPr>
            <w:tcW w:w="241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宋体" w:hAnsi="宋体" w:cs="宋体"/>
                <w:color w:val="000000"/>
                <w:kern w:val="0"/>
                <w:sz w:val="22"/>
                <w:szCs w:val="22"/>
              </w:rPr>
            </w:pPr>
          </w:p>
        </w:tc>
        <w:tc>
          <w:tcPr>
            <w:tcW w:w="321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宋体" w:hAnsi="宋体" w:cs="宋体"/>
                <w:color w:val="000000"/>
                <w:kern w:val="0"/>
                <w:sz w:val="22"/>
                <w:szCs w:val="22"/>
              </w:rPr>
            </w:pPr>
            <w:r>
              <w:rPr>
                <w:rFonts w:hint="eastAsia" w:ascii="宋体" w:hAnsi="宋体" w:cs="宋体"/>
                <w:color w:val="000000"/>
                <w:kern w:val="0"/>
                <w:sz w:val="22"/>
                <w:szCs w:val="22"/>
              </w:rPr>
              <w:t>4.1.9根据国外先进的标准制定管理控制规范（注明引用来源及相关条例，保留原文件）（+1分）</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宋体" w:hAnsi="宋体" w:cs="宋体"/>
                <w:color w:val="000000"/>
                <w:kern w:val="0"/>
                <w:sz w:val="22"/>
                <w:szCs w:val="22"/>
              </w:rPr>
            </w:pPr>
            <w:r>
              <w:rPr>
                <w:rFonts w:hint="eastAsia" w:ascii="宋体" w:hAnsi="宋体" w:cs="宋体"/>
                <w:color w:val="000000"/>
                <w:kern w:val="0"/>
                <w:sz w:val="22"/>
                <w:szCs w:val="22"/>
              </w:rPr>
              <w:t>查看引用的条款，国外标准原文，核实引用是否合理</w:t>
            </w:r>
          </w:p>
        </w:tc>
        <w:tc>
          <w:tcPr>
            <w:tcW w:w="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宋体" w:hAnsi="宋体" w:cs="宋体"/>
                <w:color w:val="000000"/>
                <w:kern w:val="0"/>
                <w:sz w:val="28"/>
                <w:szCs w:val="28"/>
              </w:rPr>
            </w:pPr>
          </w:p>
        </w:tc>
        <w:tc>
          <w:tcPr>
            <w:tcW w:w="253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宋体" w:hAnsi="宋体" w:cs="宋体"/>
                <w:color w:val="000000"/>
                <w:kern w:val="0"/>
                <w:sz w:val="22"/>
                <w:szCs w:val="22"/>
              </w:rPr>
            </w:pP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宋体" w:hAnsi="宋体" w:cs="宋体"/>
                <w:color w:val="000000"/>
                <w:kern w:val="0"/>
                <w:sz w:val="28"/>
                <w:szCs w:val="28"/>
              </w:rPr>
            </w:pPr>
          </w:p>
        </w:tc>
      </w:tr>
      <w:tr>
        <w:tblPrEx>
          <w:tblLayout w:type="fixed"/>
          <w:tblCellMar>
            <w:top w:w="15" w:type="dxa"/>
            <w:left w:w="108" w:type="dxa"/>
            <w:bottom w:w="15" w:type="dxa"/>
            <w:right w:w="108" w:type="dxa"/>
          </w:tblCellMar>
        </w:tblPrEx>
        <w:trPr>
          <w:trHeight w:val="1562" w:hRule="atLeast"/>
        </w:trPr>
        <w:tc>
          <w:tcPr>
            <w:tcW w:w="158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宋体" w:hAnsi="宋体" w:cs="宋体"/>
                <w:b/>
                <w:bCs/>
                <w:color w:val="000000"/>
                <w:kern w:val="0"/>
                <w:sz w:val="24"/>
              </w:rPr>
            </w:pPr>
          </w:p>
        </w:tc>
        <w:tc>
          <w:tcPr>
            <w:tcW w:w="241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宋体" w:hAnsi="宋体" w:cs="宋体"/>
                <w:color w:val="000000"/>
                <w:kern w:val="0"/>
                <w:sz w:val="22"/>
                <w:szCs w:val="22"/>
              </w:rPr>
            </w:pPr>
          </w:p>
        </w:tc>
        <w:tc>
          <w:tcPr>
            <w:tcW w:w="321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宋体" w:hAnsi="宋体" w:cs="宋体"/>
                <w:color w:val="000000"/>
                <w:kern w:val="0"/>
                <w:sz w:val="22"/>
                <w:szCs w:val="22"/>
              </w:rPr>
            </w:pPr>
            <w:r>
              <w:rPr>
                <w:rFonts w:hint="eastAsia" w:ascii="宋体" w:hAnsi="宋体" w:cs="宋体"/>
                <w:color w:val="000000"/>
                <w:kern w:val="0"/>
                <w:sz w:val="22"/>
                <w:szCs w:val="22"/>
              </w:rPr>
              <w:t>4.1.10获得国外先进食品安全管理相关第三方认证（+1分）</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●有认证证书，加1分</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宋体" w:hAnsi="宋体" w:cs="宋体"/>
                <w:color w:val="000000"/>
                <w:kern w:val="0"/>
                <w:sz w:val="22"/>
                <w:szCs w:val="22"/>
              </w:rPr>
            </w:pPr>
            <w:r>
              <w:rPr>
                <w:rFonts w:hint="eastAsia" w:ascii="宋体" w:hAnsi="宋体" w:cs="宋体"/>
                <w:color w:val="000000"/>
                <w:kern w:val="0"/>
                <w:sz w:val="22"/>
                <w:szCs w:val="22"/>
              </w:rPr>
              <w:t>查看认证证书，认证范围是否涵盖整个管理体系，证书日期</w:t>
            </w:r>
          </w:p>
        </w:tc>
        <w:tc>
          <w:tcPr>
            <w:tcW w:w="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宋体" w:hAnsi="宋体" w:cs="宋体"/>
                <w:color w:val="000000"/>
                <w:kern w:val="0"/>
                <w:sz w:val="28"/>
                <w:szCs w:val="28"/>
              </w:rPr>
            </w:pPr>
          </w:p>
        </w:tc>
        <w:tc>
          <w:tcPr>
            <w:tcW w:w="253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宋体" w:hAnsi="宋体" w:cs="宋体"/>
                <w:color w:val="000000"/>
                <w:kern w:val="0"/>
                <w:sz w:val="22"/>
                <w:szCs w:val="22"/>
              </w:rPr>
            </w:pP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宋体" w:hAnsi="宋体" w:cs="宋体"/>
                <w:color w:val="000000"/>
                <w:kern w:val="0"/>
                <w:sz w:val="28"/>
                <w:szCs w:val="28"/>
              </w:rPr>
            </w:pPr>
          </w:p>
        </w:tc>
      </w:tr>
      <w:tr>
        <w:tblPrEx>
          <w:tblLayout w:type="fixed"/>
          <w:tblCellMar>
            <w:top w:w="15" w:type="dxa"/>
            <w:left w:w="108" w:type="dxa"/>
            <w:bottom w:w="15" w:type="dxa"/>
            <w:right w:w="108" w:type="dxa"/>
          </w:tblCellMar>
        </w:tblPrEx>
        <w:trPr>
          <w:trHeight w:val="1899" w:hRule="atLeast"/>
        </w:trPr>
        <w:tc>
          <w:tcPr>
            <w:tcW w:w="158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宋体" w:hAnsi="宋体" w:cs="宋体"/>
                <w:color w:val="000000"/>
                <w:kern w:val="0"/>
                <w:sz w:val="22"/>
                <w:szCs w:val="22"/>
              </w:rPr>
            </w:pPr>
            <w:r>
              <w:rPr>
                <w:rFonts w:hint="eastAsia" w:ascii="宋体" w:hAnsi="宋体" w:cs="宋体"/>
                <w:color w:val="000000"/>
                <w:kern w:val="0"/>
                <w:sz w:val="22"/>
                <w:szCs w:val="22"/>
              </w:rPr>
              <w:t>4.2</w:t>
            </w:r>
          </w:p>
        </w:tc>
        <w:tc>
          <w:tcPr>
            <w:tcW w:w="241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宋体" w:hAnsi="宋体" w:cs="宋体"/>
                <w:color w:val="000000"/>
                <w:kern w:val="0"/>
                <w:sz w:val="22"/>
                <w:szCs w:val="22"/>
              </w:rPr>
            </w:pPr>
            <w:r>
              <w:rPr>
                <w:rFonts w:hint="eastAsia" w:ascii="宋体" w:hAnsi="宋体" w:cs="宋体"/>
                <w:color w:val="000000"/>
                <w:kern w:val="0"/>
                <w:sz w:val="22"/>
                <w:szCs w:val="22"/>
              </w:rPr>
              <w:t>对国家食品安全标准没有规定农兽、污染物等限量指标的，可以采用国际食品法典委员会等国际组织或者发达国家和地区的食品安全标准。</w:t>
            </w:r>
          </w:p>
        </w:tc>
        <w:tc>
          <w:tcPr>
            <w:tcW w:w="321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宋体" w:hAnsi="宋体" w:cs="宋体"/>
                <w:color w:val="000000"/>
                <w:kern w:val="0"/>
                <w:sz w:val="22"/>
                <w:szCs w:val="22"/>
              </w:rPr>
            </w:pPr>
            <w:r>
              <w:rPr>
                <w:rFonts w:ascii="宋体" w:hAnsi="宋体" w:cs="宋体"/>
                <w:color w:val="000000"/>
                <w:kern w:val="0"/>
                <w:sz w:val="22"/>
                <w:szCs w:val="22"/>
              </w:rPr>
              <w:t>4.2.1如采用国际食品法典委员会等国际组织或者发达国家和地区的标准，注明引用来源及相关条例，（+1</w:t>
            </w:r>
            <w:r>
              <w:rPr>
                <w:rFonts w:hint="eastAsia" w:ascii="宋体" w:hAnsi="宋体" w:cs="宋体"/>
                <w:color w:val="000000"/>
                <w:kern w:val="0"/>
                <w:sz w:val="22"/>
                <w:szCs w:val="22"/>
              </w:rPr>
              <w:t>分）</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●引用1个检测项目，加1分，直至2分加满（与4.2.1重合的检测项目，不再另行加分）</w:t>
            </w:r>
          </w:p>
        </w:tc>
        <w:tc>
          <w:tcPr>
            <w:tcW w:w="1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color w:val="000000"/>
                <w:kern w:val="0"/>
                <w:sz w:val="22"/>
                <w:szCs w:val="22"/>
              </w:rPr>
            </w:pPr>
            <w:r>
              <w:rPr>
                <w:rFonts w:ascii="宋体" w:hAnsi="宋体" w:cs="宋体"/>
                <w:color w:val="000000"/>
                <w:kern w:val="0"/>
                <w:sz w:val="22"/>
                <w:szCs w:val="22"/>
              </w:rPr>
              <w:t>查看检测项目，检测限值，方法来源，基于的风险因素</w:t>
            </w:r>
          </w:p>
        </w:tc>
        <w:tc>
          <w:tcPr>
            <w:tcW w:w="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宋体" w:hAnsi="宋体" w:cs="宋体"/>
                <w:color w:val="000000"/>
                <w:kern w:val="0"/>
                <w:sz w:val="28"/>
                <w:szCs w:val="28"/>
              </w:rPr>
            </w:pPr>
          </w:p>
        </w:tc>
        <w:tc>
          <w:tcPr>
            <w:tcW w:w="253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宋体" w:hAnsi="宋体" w:cs="宋体"/>
                <w:color w:val="000000"/>
                <w:kern w:val="0"/>
                <w:sz w:val="22"/>
                <w:szCs w:val="22"/>
              </w:rPr>
            </w:pPr>
          </w:p>
        </w:tc>
        <w:tc>
          <w:tcPr>
            <w:tcW w:w="1630" w:type="dxa"/>
            <w:tcBorders>
              <w:left w:val="single" w:color="000000" w:sz="4" w:space="0"/>
              <w:bottom w:val="single" w:color="000000" w:sz="4" w:space="0"/>
              <w:right w:val="single" w:color="000000" w:sz="4" w:space="0"/>
            </w:tcBorders>
            <w:vAlign w:val="center"/>
          </w:tcPr>
          <w:p>
            <w:pPr>
              <w:widowControl/>
              <w:spacing w:line="400" w:lineRule="exact"/>
              <w:jc w:val="left"/>
              <w:rPr>
                <w:rFonts w:ascii="宋体" w:hAnsi="宋体" w:cs="宋体"/>
                <w:color w:val="000000"/>
                <w:kern w:val="0"/>
                <w:sz w:val="28"/>
                <w:szCs w:val="28"/>
              </w:rPr>
            </w:pPr>
          </w:p>
        </w:tc>
      </w:tr>
      <w:tr>
        <w:tblPrEx>
          <w:tblLayout w:type="fixed"/>
          <w:tblCellMar>
            <w:top w:w="15" w:type="dxa"/>
            <w:left w:w="108" w:type="dxa"/>
            <w:bottom w:w="15" w:type="dxa"/>
            <w:right w:w="108" w:type="dxa"/>
          </w:tblCellMar>
        </w:tblPrEx>
        <w:trPr>
          <w:trHeight w:val="398" w:hRule="atLeast"/>
        </w:trPr>
        <w:tc>
          <w:tcPr>
            <w:tcW w:w="14611"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4"/>
              </w:rPr>
            </w:pPr>
            <w:r>
              <w:rPr>
                <w:rFonts w:hint="eastAsia" w:ascii="宋体" w:hAnsi="宋体" w:cs="宋体"/>
                <w:b/>
                <w:bCs/>
                <w:color w:val="000000"/>
                <w:kern w:val="0"/>
                <w:sz w:val="24"/>
              </w:rPr>
              <w:t>5、源头管控优化（31分）</w:t>
            </w:r>
          </w:p>
        </w:tc>
      </w:tr>
      <w:tr>
        <w:tblPrEx>
          <w:tblLayout w:type="fixed"/>
          <w:tblCellMar>
            <w:top w:w="15" w:type="dxa"/>
            <w:left w:w="108" w:type="dxa"/>
            <w:bottom w:w="15" w:type="dxa"/>
            <w:right w:w="108" w:type="dxa"/>
          </w:tblCellMar>
        </w:tblPrEx>
        <w:trPr>
          <w:trHeight w:val="1961" w:hRule="atLeast"/>
        </w:trPr>
        <w:tc>
          <w:tcPr>
            <w:tcW w:w="158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left"/>
              <w:rPr>
                <w:rFonts w:ascii="宋体" w:hAnsi="宋体" w:cs="宋体"/>
                <w:b/>
                <w:bCs/>
                <w:color w:val="000000"/>
                <w:kern w:val="0"/>
                <w:sz w:val="24"/>
              </w:rPr>
            </w:pPr>
            <w:r>
              <w:rPr>
                <w:rFonts w:hint="eastAsia" w:ascii="宋体" w:hAnsi="宋体" w:cs="宋体"/>
                <w:b/>
                <w:bCs/>
                <w:color w:val="000000"/>
                <w:kern w:val="0"/>
                <w:sz w:val="24"/>
              </w:rPr>
              <w:t>5.1/5.2/5.3</w:t>
            </w:r>
          </w:p>
        </w:tc>
        <w:tc>
          <w:tcPr>
            <w:tcW w:w="241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left"/>
              <w:rPr>
                <w:rFonts w:ascii="宋体" w:hAnsi="宋体" w:cs="宋体"/>
                <w:color w:val="000000"/>
                <w:kern w:val="0"/>
                <w:sz w:val="22"/>
                <w:szCs w:val="22"/>
              </w:rPr>
            </w:pPr>
            <w:r>
              <w:rPr>
                <w:rFonts w:hint="eastAsia" w:ascii="宋体" w:hAnsi="宋体" w:cs="宋体"/>
                <w:color w:val="000000"/>
                <w:kern w:val="0"/>
                <w:sz w:val="22"/>
                <w:szCs w:val="22"/>
              </w:rPr>
              <w:t>从食用农产品供应商采购的，要自行或委托社会第三方机构对供应商进行审核。/从肉菜等食用农产品种养殖企业采购的，要对种养殖企业和基地进行审查。/从食用农产品批发市场采购的，要对销售者进行审查，并对肉菜等食用农产品进行查验。</w:t>
            </w:r>
          </w:p>
        </w:tc>
        <w:tc>
          <w:tcPr>
            <w:tcW w:w="3217" w:type="dxa"/>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left"/>
              <w:rPr>
                <w:rFonts w:ascii="宋体" w:hAnsi="宋体" w:cs="宋体"/>
                <w:color w:val="000000"/>
                <w:kern w:val="0"/>
                <w:sz w:val="22"/>
                <w:szCs w:val="22"/>
              </w:rPr>
            </w:pPr>
            <w:r>
              <w:rPr>
                <w:rFonts w:hint="eastAsia" w:ascii="宋体" w:hAnsi="宋体" w:cs="宋体"/>
                <w:color w:val="000000"/>
                <w:kern w:val="0"/>
                <w:sz w:val="22"/>
                <w:szCs w:val="22"/>
              </w:rPr>
              <w:t>5.1.1建立有完整食用农产品供应商审核程序，并有效实施（+2分）</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●有一种肉菜的供应商评价程序，加1分；直至2分加满</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left"/>
              <w:rPr>
                <w:rFonts w:ascii="宋体" w:hAnsi="宋体" w:cs="宋体"/>
                <w:color w:val="000000"/>
                <w:kern w:val="0"/>
                <w:sz w:val="22"/>
                <w:szCs w:val="22"/>
              </w:rPr>
            </w:pPr>
            <w:r>
              <w:rPr>
                <w:rFonts w:hint="eastAsia" w:ascii="宋体" w:hAnsi="宋体" w:cs="宋体"/>
                <w:color w:val="000000"/>
                <w:kern w:val="0"/>
                <w:sz w:val="22"/>
                <w:szCs w:val="22"/>
              </w:rPr>
              <w:t>查看供应商审核程序：包括准入标准、首次/定期评价、分级管理和实地考察要求。</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left"/>
              <w:rPr>
                <w:rFonts w:ascii="宋体" w:hAnsi="宋体" w:cs="宋体"/>
                <w:color w:val="000000"/>
                <w:kern w:val="0"/>
                <w:sz w:val="28"/>
                <w:szCs w:val="28"/>
              </w:rPr>
            </w:pPr>
          </w:p>
        </w:tc>
        <w:tc>
          <w:tcPr>
            <w:tcW w:w="253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left"/>
              <w:rPr>
                <w:rFonts w:ascii="宋体" w:hAnsi="宋体" w:cs="宋体"/>
                <w:color w:val="000000"/>
                <w:kern w:val="0"/>
                <w:sz w:val="22"/>
                <w:szCs w:val="22"/>
              </w:rPr>
            </w:pPr>
            <w:r>
              <w:rPr>
                <w:rFonts w:hint="eastAsia" w:ascii="宋体" w:hAnsi="宋体" w:cs="宋体"/>
                <w:color w:val="000000"/>
                <w:kern w:val="0"/>
                <w:sz w:val="22"/>
                <w:szCs w:val="22"/>
              </w:rPr>
              <w:t>沪食安办（2017）47号文（二）/ 5</w:t>
            </w: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left"/>
              <w:rPr>
                <w:rFonts w:ascii="宋体" w:hAnsi="宋体" w:cs="宋体"/>
                <w:color w:val="000000"/>
                <w:kern w:val="0"/>
                <w:sz w:val="28"/>
                <w:szCs w:val="28"/>
              </w:rPr>
            </w:pPr>
          </w:p>
        </w:tc>
      </w:tr>
      <w:tr>
        <w:tblPrEx>
          <w:tblLayout w:type="fixed"/>
          <w:tblCellMar>
            <w:top w:w="15" w:type="dxa"/>
            <w:left w:w="108" w:type="dxa"/>
            <w:bottom w:w="15" w:type="dxa"/>
            <w:right w:w="108" w:type="dxa"/>
          </w:tblCellMar>
        </w:tblPrEx>
        <w:trPr>
          <w:trHeight w:val="1317" w:hRule="atLeast"/>
        </w:trPr>
        <w:tc>
          <w:tcPr>
            <w:tcW w:w="158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left"/>
              <w:rPr>
                <w:rFonts w:ascii="宋体" w:hAnsi="宋体" w:cs="宋体"/>
                <w:b/>
                <w:bCs/>
                <w:color w:val="000000"/>
                <w:kern w:val="0"/>
                <w:sz w:val="24"/>
              </w:rPr>
            </w:pPr>
          </w:p>
        </w:tc>
        <w:tc>
          <w:tcPr>
            <w:tcW w:w="241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left"/>
              <w:rPr>
                <w:rFonts w:ascii="宋体" w:hAnsi="宋体" w:cs="宋体"/>
                <w:color w:val="000000"/>
                <w:kern w:val="0"/>
                <w:sz w:val="22"/>
                <w:szCs w:val="22"/>
              </w:rPr>
            </w:pPr>
          </w:p>
        </w:tc>
        <w:tc>
          <w:tcPr>
            <w:tcW w:w="3217" w:type="dxa"/>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left"/>
              <w:rPr>
                <w:rFonts w:ascii="宋体" w:hAnsi="宋体" w:cs="宋体"/>
                <w:color w:val="000000"/>
                <w:kern w:val="0"/>
                <w:sz w:val="22"/>
                <w:szCs w:val="22"/>
              </w:rPr>
            </w:pPr>
            <w:r>
              <w:rPr>
                <w:rFonts w:hint="eastAsia" w:ascii="宋体" w:hAnsi="宋体" w:cs="宋体"/>
                <w:color w:val="000000"/>
                <w:kern w:val="0"/>
                <w:sz w:val="22"/>
                <w:szCs w:val="22"/>
              </w:rPr>
              <w:t>5.1.2建立供应商目录，定期审核，并保留有效评价记录（+4分）</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●有合格供应商目录清单，加1分</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●抽查3个供应商档案，有评审报告，加3分</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left"/>
              <w:rPr>
                <w:rFonts w:ascii="宋体" w:hAnsi="宋体" w:cs="宋体"/>
                <w:color w:val="000000"/>
                <w:kern w:val="0"/>
                <w:sz w:val="22"/>
                <w:szCs w:val="22"/>
              </w:rPr>
            </w:pPr>
            <w:r>
              <w:rPr>
                <w:rFonts w:ascii="宋体" w:hAnsi="宋体" w:cs="宋体"/>
                <w:color w:val="000000"/>
                <w:kern w:val="0"/>
                <w:sz w:val="22"/>
                <w:szCs w:val="22"/>
              </w:rPr>
              <w:t>查看合格供方名单，评审报告</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left"/>
              <w:rPr>
                <w:rFonts w:ascii="宋体" w:hAnsi="宋体" w:cs="宋体"/>
                <w:color w:val="000000"/>
                <w:kern w:val="0"/>
                <w:sz w:val="28"/>
                <w:szCs w:val="28"/>
              </w:rPr>
            </w:pPr>
          </w:p>
        </w:tc>
        <w:tc>
          <w:tcPr>
            <w:tcW w:w="253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left"/>
              <w:rPr>
                <w:rFonts w:ascii="宋体" w:hAnsi="宋体" w:cs="宋体"/>
                <w:color w:val="000000"/>
                <w:kern w:val="0"/>
                <w:sz w:val="22"/>
                <w:szCs w:val="22"/>
              </w:rPr>
            </w:pP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left"/>
              <w:rPr>
                <w:rFonts w:ascii="宋体" w:hAnsi="宋体" w:cs="宋体"/>
                <w:color w:val="000000"/>
                <w:kern w:val="0"/>
                <w:sz w:val="28"/>
                <w:szCs w:val="28"/>
              </w:rPr>
            </w:pPr>
          </w:p>
        </w:tc>
      </w:tr>
      <w:tr>
        <w:tblPrEx>
          <w:tblLayout w:type="fixed"/>
          <w:tblCellMar>
            <w:top w:w="15" w:type="dxa"/>
            <w:left w:w="108" w:type="dxa"/>
            <w:bottom w:w="15" w:type="dxa"/>
            <w:right w:w="108" w:type="dxa"/>
          </w:tblCellMar>
        </w:tblPrEx>
        <w:trPr>
          <w:trHeight w:val="1532" w:hRule="atLeast"/>
        </w:trPr>
        <w:tc>
          <w:tcPr>
            <w:tcW w:w="158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left"/>
              <w:rPr>
                <w:rFonts w:ascii="宋体" w:hAnsi="宋体" w:cs="宋体"/>
                <w:b/>
                <w:bCs/>
                <w:color w:val="000000"/>
                <w:kern w:val="0"/>
                <w:sz w:val="24"/>
              </w:rPr>
            </w:pPr>
          </w:p>
        </w:tc>
        <w:tc>
          <w:tcPr>
            <w:tcW w:w="241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left"/>
              <w:rPr>
                <w:rFonts w:ascii="宋体" w:hAnsi="宋体" w:cs="宋体"/>
                <w:color w:val="000000"/>
                <w:kern w:val="0"/>
                <w:sz w:val="22"/>
                <w:szCs w:val="22"/>
              </w:rPr>
            </w:pPr>
          </w:p>
        </w:tc>
        <w:tc>
          <w:tcPr>
            <w:tcW w:w="3217" w:type="dxa"/>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left"/>
              <w:rPr>
                <w:rFonts w:ascii="宋体" w:hAnsi="宋体" w:cs="宋体"/>
                <w:color w:val="000000"/>
                <w:kern w:val="0"/>
                <w:sz w:val="22"/>
                <w:szCs w:val="22"/>
              </w:rPr>
            </w:pPr>
            <w:r>
              <w:rPr>
                <w:rFonts w:hint="eastAsia" w:ascii="宋体" w:hAnsi="宋体" w:cs="宋体"/>
                <w:color w:val="000000"/>
                <w:kern w:val="0"/>
                <w:sz w:val="22"/>
                <w:szCs w:val="22"/>
              </w:rPr>
              <w:t>5.1.3保留收集有经核查真实的供应商生产过程记录，需涵盖种养殖企业或基地农兽药管理使用情况。（+1分）</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●有一个供应商的生产记录，加1分；</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left"/>
              <w:rPr>
                <w:rFonts w:ascii="宋体" w:hAnsi="宋体" w:cs="宋体"/>
                <w:color w:val="000000"/>
                <w:kern w:val="0"/>
                <w:sz w:val="22"/>
                <w:szCs w:val="22"/>
              </w:rPr>
            </w:pPr>
            <w:r>
              <w:rPr>
                <w:rFonts w:hint="eastAsia" w:ascii="宋体" w:hAnsi="宋体" w:cs="宋体"/>
                <w:color w:val="000000"/>
                <w:kern w:val="0"/>
                <w:sz w:val="22"/>
                <w:szCs w:val="22"/>
              </w:rPr>
              <w:t>供应商生产记录</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left"/>
              <w:rPr>
                <w:rFonts w:ascii="宋体" w:hAnsi="宋体" w:cs="宋体"/>
                <w:color w:val="000000"/>
                <w:kern w:val="0"/>
                <w:sz w:val="28"/>
                <w:szCs w:val="28"/>
              </w:rPr>
            </w:pPr>
          </w:p>
        </w:tc>
        <w:tc>
          <w:tcPr>
            <w:tcW w:w="253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left"/>
              <w:rPr>
                <w:rFonts w:ascii="宋体" w:hAnsi="宋体" w:cs="宋体"/>
                <w:color w:val="000000"/>
                <w:kern w:val="0"/>
                <w:sz w:val="22"/>
                <w:szCs w:val="22"/>
              </w:rPr>
            </w:pP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left"/>
              <w:rPr>
                <w:rFonts w:ascii="宋体" w:hAnsi="宋体" w:cs="宋体"/>
                <w:color w:val="000000"/>
                <w:kern w:val="0"/>
                <w:sz w:val="28"/>
                <w:szCs w:val="28"/>
              </w:rPr>
            </w:pPr>
          </w:p>
        </w:tc>
      </w:tr>
      <w:tr>
        <w:tblPrEx>
          <w:tblLayout w:type="fixed"/>
          <w:tblCellMar>
            <w:top w:w="15" w:type="dxa"/>
            <w:left w:w="108" w:type="dxa"/>
            <w:bottom w:w="15" w:type="dxa"/>
            <w:right w:w="108" w:type="dxa"/>
          </w:tblCellMar>
        </w:tblPrEx>
        <w:trPr>
          <w:trHeight w:val="2998" w:hRule="atLeast"/>
        </w:trPr>
        <w:tc>
          <w:tcPr>
            <w:tcW w:w="158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4"/>
              </w:rPr>
            </w:pPr>
          </w:p>
        </w:tc>
        <w:tc>
          <w:tcPr>
            <w:tcW w:w="241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32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5.1.4委托第三方机构进行上述工作，保留审核报告（+1分）</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●有一个供应商的第三方审核报告，加1分（与5.1.2/5.13重合的评价或记录，不再另行加分）</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第三方审核报告</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8"/>
                <w:szCs w:val="28"/>
              </w:rPr>
            </w:pPr>
          </w:p>
        </w:tc>
        <w:tc>
          <w:tcPr>
            <w:tcW w:w="253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8"/>
                <w:szCs w:val="28"/>
              </w:rPr>
            </w:pPr>
          </w:p>
        </w:tc>
      </w:tr>
      <w:tr>
        <w:tblPrEx>
          <w:tblLayout w:type="fixed"/>
          <w:tblCellMar>
            <w:top w:w="15" w:type="dxa"/>
            <w:left w:w="108" w:type="dxa"/>
            <w:bottom w:w="15" w:type="dxa"/>
            <w:right w:w="108" w:type="dxa"/>
          </w:tblCellMar>
        </w:tblPrEx>
        <w:trPr>
          <w:trHeight w:val="4514" w:hRule="atLeast"/>
        </w:trPr>
        <w:tc>
          <w:tcPr>
            <w:tcW w:w="158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4"/>
              </w:rPr>
            </w:pPr>
            <w:r>
              <w:rPr>
                <w:rFonts w:hint="eastAsia" w:ascii="宋体" w:hAnsi="宋体" w:cs="宋体"/>
                <w:b/>
                <w:bCs/>
                <w:color w:val="000000"/>
                <w:kern w:val="0"/>
                <w:sz w:val="24"/>
              </w:rPr>
              <w:t>5.4</w:t>
            </w:r>
          </w:p>
        </w:tc>
        <w:tc>
          <w:tcPr>
            <w:tcW w:w="241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对购进的肉菜等食用农产品，要按照有关法律法规要求如实记录供应商、种养殖基地、种养殖企业、销售者等供货者名称，农产品品种、产地等信息，做到来源可查。</w:t>
            </w:r>
          </w:p>
        </w:tc>
        <w:tc>
          <w:tcPr>
            <w:tcW w:w="32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ascii="宋体" w:hAnsi="宋体" w:cs="宋体"/>
                <w:color w:val="000000"/>
                <w:kern w:val="0"/>
                <w:sz w:val="22"/>
                <w:szCs w:val="22"/>
              </w:rPr>
              <w:t>5.4.1保留完整的进出货台账及相关记录单，进货记录至少涵盖肉菜名称，数量，进货日期，供方名称，地址，联系方式等内容。记录和凭证保存期限不得少于6个月（+2分）</w:t>
            </w:r>
            <w:r>
              <w:rPr>
                <w:rFonts w:hint="eastAsia" w:ascii="宋体" w:hAnsi="宋体" w:cs="宋体"/>
                <w:color w:val="000000"/>
                <w:kern w:val="0"/>
                <w:sz w:val="22"/>
                <w:szCs w:val="22"/>
              </w:rPr>
              <w:br w:type="textWrapping"/>
            </w:r>
            <w:r>
              <w:rPr>
                <w:rFonts w:ascii="宋体" w:hAnsi="宋体" w:cs="宋体"/>
                <w:color w:val="000000"/>
                <w:kern w:val="0"/>
                <w:sz w:val="22"/>
                <w:szCs w:val="22"/>
              </w:rPr>
              <w:t xml:space="preserve">●抽查2个批次的肉菜，有一个完整有效的加1分；直至2分加满 </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查看进出货台账与记录单，并确认是否保留6个月以上</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8"/>
                <w:szCs w:val="28"/>
              </w:rPr>
            </w:pPr>
          </w:p>
        </w:tc>
        <w:tc>
          <w:tcPr>
            <w:tcW w:w="25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《食用农产品市场销售质量安全监督管理办法》国食药监第20号令 第二十六条 及 食品安全监督检查标准规程(流通)A3013</w:t>
            </w: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8"/>
                <w:szCs w:val="28"/>
              </w:rPr>
            </w:pPr>
          </w:p>
        </w:tc>
      </w:tr>
      <w:tr>
        <w:tblPrEx>
          <w:tblLayout w:type="fixed"/>
          <w:tblCellMar>
            <w:top w:w="15" w:type="dxa"/>
            <w:left w:w="108" w:type="dxa"/>
            <w:bottom w:w="15" w:type="dxa"/>
            <w:right w:w="108" w:type="dxa"/>
          </w:tblCellMar>
        </w:tblPrEx>
        <w:trPr>
          <w:trHeight w:val="1899" w:hRule="atLeast"/>
        </w:trPr>
        <w:tc>
          <w:tcPr>
            <w:tcW w:w="158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宋体" w:hAnsi="宋体" w:cs="宋体"/>
                <w:b/>
                <w:bCs/>
                <w:color w:val="000000"/>
                <w:kern w:val="0"/>
                <w:sz w:val="24"/>
              </w:rPr>
            </w:pPr>
          </w:p>
        </w:tc>
        <w:tc>
          <w:tcPr>
            <w:tcW w:w="241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宋体" w:hAnsi="宋体" w:cs="宋体"/>
                <w:color w:val="000000"/>
                <w:kern w:val="0"/>
                <w:sz w:val="22"/>
                <w:szCs w:val="22"/>
              </w:rPr>
            </w:pPr>
          </w:p>
        </w:tc>
        <w:tc>
          <w:tcPr>
            <w:tcW w:w="321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宋体" w:hAnsi="宋体" w:cs="宋体"/>
                <w:color w:val="000000"/>
                <w:kern w:val="0"/>
                <w:sz w:val="22"/>
                <w:szCs w:val="22"/>
              </w:rPr>
            </w:pPr>
            <w:r>
              <w:rPr>
                <w:rFonts w:hint="eastAsia" w:ascii="宋体" w:hAnsi="宋体" w:cs="宋体"/>
                <w:color w:val="000000"/>
                <w:kern w:val="0"/>
                <w:sz w:val="22"/>
                <w:szCs w:val="22"/>
              </w:rPr>
              <w:t>5.4.2保留各批次的动物产品检疫合格证及进口肉菜的动物检疫合格证明，保留期限不少于6个月（+1分）</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●抽查一个批次的肉菜，有合格证明，加1分</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宋体" w:hAnsi="宋体" w:cs="宋体"/>
                <w:color w:val="000000"/>
                <w:kern w:val="0"/>
                <w:sz w:val="22"/>
                <w:szCs w:val="22"/>
              </w:rPr>
            </w:pPr>
            <w:r>
              <w:rPr>
                <w:rFonts w:hint="eastAsia" w:ascii="宋体" w:hAnsi="宋体" w:cs="宋体"/>
                <w:color w:val="000000"/>
                <w:kern w:val="0"/>
                <w:sz w:val="22"/>
                <w:szCs w:val="22"/>
              </w:rPr>
              <w:t>随机抽查一个批次的肉菜，和进口肉菜，确认是否有检疫合格证等合格凭证</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宋体" w:hAnsi="宋体" w:cs="宋体"/>
                <w:color w:val="000000"/>
                <w:kern w:val="0"/>
                <w:sz w:val="28"/>
                <w:szCs w:val="28"/>
              </w:rPr>
            </w:pPr>
          </w:p>
        </w:tc>
        <w:tc>
          <w:tcPr>
            <w:tcW w:w="253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宋体" w:hAnsi="宋体" w:cs="宋体"/>
                <w:color w:val="000000"/>
                <w:kern w:val="0"/>
                <w:sz w:val="22"/>
                <w:szCs w:val="22"/>
              </w:rPr>
            </w:pPr>
            <w:r>
              <w:rPr>
                <w:rFonts w:hint="eastAsia" w:ascii="宋体" w:hAnsi="宋体" w:cs="宋体"/>
                <w:color w:val="000000"/>
                <w:kern w:val="0"/>
                <w:sz w:val="22"/>
                <w:szCs w:val="22"/>
              </w:rPr>
              <w:t>食品安全监督检查标准规程(流通)A3012</w:t>
            </w: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宋体" w:hAnsi="宋体" w:cs="宋体"/>
                <w:color w:val="000000"/>
                <w:kern w:val="0"/>
                <w:sz w:val="28"/>
                <w:szCs w:val="28"/>
              </w:rPr>
            </w:pPr>
          </w:p>
        </w:tc>
      </w:tr>
      <w:tr>
        <w:tblPrEx>
          <w:tblLayout w:type="fixed"/>
          <w:tblCellMar>
            <w:top w:w="15" w:type="dxa"/>
            <w:left w:w="108" w:type="dxa"/>
            <w:bottom w:w="15" w:type="dxa"/>
            <w:right w:w="108" w:type="dxa"/>
          </w:tblCellMar>
        </w:tblPrEx>
        <w:trPr>
          <w:trHeight w:val="1929" w:hRule="atLeast"/>
        </w:trPr>
        <w:tc>
          <w:tcPr>
            <w:tcW w:w="158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宋体" w:hAnsi="宋体" w:cs="宋体"/>
                <w:b/>
                <w:bCs/>
                <w:color w:val="000000"/>
                <w:kern w:val="0"/>
                <w:sz w:val="24"/>
              </w:rPr>
            </w:pPr>
          </w:p>
        </w:tc>
        <w:tc>
          <w:tcPr>
            <w:tcW w:w="241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宋体" w:hAnsi="宋体" w:cs="宋体"/>
                <w:color w:val="000000"/>
                <w:kern w:val="0"/>
                <w:sz w:val="22"/>
                <w:szCs w:val="22"/>
              </w:rPr>
            </w:pPr>
          </w:p>
        </w:tc>
        <w:tc>
          <w:tcPr>
            <w:tcW w:w="321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宋体" w:hAnsi="宋体" w:cs="宋体"/>
                <w:color w:val="000000"/>
                <w:kern w:val="0"/>
                <w:sz w:val="22"/>
                <w:szCs w:val="22"/>
              </w:rPr>
            </w:pPr>
            <w:r>
              <w:rPr>
                <w:rFonts w:hint="eastAsia" w:ascii="宋体" w:hAnsi="宋体" w:cs="宋体"/>
                <w:color w:val="000000"/>
                <w:kern w:val="0"/>
                <w:sz w:val="22"/>
                <w:szCs w:val="22"/>
              </w:rPr>
              <w:t>5.4.3生猪产品供方及超市IC卡及进货记录及票据，通过上海肉菜流通追溯系统进行验证信息。（+1分）</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●抽查一个批次的猪肉，有IC卡，并能通过上海市肉菜追溯平台核实其信息，加1分</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宋体" w:hAnsi="宋体" w:cs="宋体"/>
                <w:color w:val="000000"/>
                <w:kern w:val="0"/>
                <w:sz w:val="22"/>
                <w:szCs w:val="22"/>
              </w:rPr>
            </w:pPr>
            <w:r>
              <w:rPr>
                <w:rFonts w:hint="eastAsia" w:ascii="宋体" w:hAnsi="宋体" w:cs="宋体"/>
                <w:color w:val="000000"/>
                <w:kern w:val="0"/>
                <w:sz w:val="22"/>
                <w:szCs w:val="22"/>
              </w:rPr>
              <w:t>生猪产品IC卡；抽查一个批次的猪肉，登陆上海市肉菜追溯平台核实信息</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宋体" w:hAnsi="宋体" w:cs="宋体"/>
                <w:color w:val="000000"/>
                <w:kern w:val="0"/>
                <w:sz w:val="28"/>
                <w:szCs w:val="28"/>
              </w:rPr>
            </w:pPr>
          </w:p>
        </w:tc>
        <w:tc>
          <w:tcPr>
            <w:tcW w:w="253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宋体" w:hAnsi="宋体" w:cs="宋体"/>
                <w:color w:val="000000"/>
                <w:kern w:val="0"/>
                <w:sz w:val="22"/>
                <w:szCs w:val="22"/>
              </w:rPr>
            </w:pPr>
            <w:r>
              <w:rPr>
                <w:rFonts w:hint="eastAsia" w:ascii="宋体" w:hAnsi="宋体" w:cs="宋体"/>
                <w:color w:val="000000"/>
                <w:kern w:val="0"/>
                <w:sz w:val="22"/>
                <w:szCs w:val="22"/>
              </w:rPr>
              <w:t>食品安全监督检查标准规程(流通)A3022</w:t>
            </w: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宋体" w:hAnsi="宋体" w:cs="宋体"/>
                <w:color w:val="000000"/>
                <w:kern w:val="0"/>
                <w:sz w:val="28"/>
                <w:szCs w:val="28"/>
              </w:rPr>
            </w:pPr>
          </w:p>
        </w:tc>
      </w:tr>
      <w:tr>
        <w:tblPrEx>
          <w:tblLayout w:type="fixed"/>
          <w:tblCellMar>
            <w:top w:w="15" w:type="dxa"/>
            <w:left w:w="108" w:type="dxa"/>
            <w:bottom w:w="15" w:type="dxa"/>
            <w:right w:w="108" w:type="dxa"/>
          </w:tblCellMar>
        </w:tblPrEx>
        <w:trPr>
          <w:trHeight w:val="2052" w:hRule="atLeast"/>
        </w:trPr>
        <w:tc>
          <w:tcPr>
            <w:tcW w:w="158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宋体" w:hAnsi="宋体" w:cs="宋体"/>
                <w:b/>
                <w:bCs/>
                <w:color w:val="000000"/>
                <w:kern w:val="0"/>
                <w:sz w:val="24"/>
              </w:rPr>
            </w:pPr>
          </w:p>
        </w:tc>
        <w:tc>
          <w:tcPr>
            <w:tcW w:w="241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宋体" w:hAnsi="宋体" w:cs="宋体"/>
                <w:color w:val="000000"/>
                <w:kern w:val="0"/>
                <w:sz w:val="22"/>
                <w:szCs w:val="22"/>
              </w:rPr>
            </w:pPr>
          </w:p>
        </w:tc>
        <w:tc>
          <w:tcPr>
            <w:tcW w:w="32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left"/>
              <w:rPr>
                <w:rFonts w:ascii="宋体" w:hAnsi="宋体" w:cs="宋体"/>
                <w:color w:val="000000"/>
                <w:kern w:val="0"/>
                <w:sz w:val="22"/>
                <w:szCs w:val="22"/>
              </w:rPr>
            </w:pPr>
            <w:r>
              <w:rPr>
                <w:rFonts w:hint="eastAsia" w:ascii="宋体" w:hAnsi="宋体" w:cs="宋体"/>
                <w:color w:val="000000"/>
                <w:kern w:val="0"/>
                <w:sz w:val="22"/>
                <w:szCs w:val="22"/>
              </w:rPr>
              <w:t>5.4.4 进货记录信息能实现追溯（+3分）</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 xml:space="preserve">●抽查2个批次的肉菜（不含生猪肉），登陆上海市肉菜追溯平台核实信息，符合要求，加2分  </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●50%以上的肉菜通过二维码等信息系统查阅可追溯（+1分）。</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宋体" w:hAnsi="宋体" w:cs="宋体"/>
                <w:color w:val="000000"/>
                <w:kern w:val="0"/>
                <w:sz w:val="22"/>
                <w:szCs w:val="22"/>
              </w:rPr>
            </w:pPr>
            <w:r>
              <w:rPr>
                <w:rFonts w:hint="eastAsia" w:ascii="宋体" w:hAnsi="宋体" w:cs="宋体"/>
                <w:color w:val="000000"/>
                <w:kern w:val="0"/>
                <w:sz w:val="22"/>
                <w:szCs w:val="22"/>
              </w:rPr>
              <w:t>抽查一个批次的肉菜，登陆上海市肉菜追溯平台核实信息</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宋体" w:hAnsi="宋体" w:cs="宋体"/>
                <w:color w:val="000000"/>
                <w:kern w:val="0"/>
                <w:sz w:val="28"/>
                <w:szCs w:val="28"/>
              </w:rPr>
            </w:pPr>
          </w:p>
        </w:tc>
        <w:tc>
          <w:tcPr>
            <w:tcW w:w="253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宋体" w:hAnsi="宋体" w:cs="宋体"/>
                <w:color w:val="000000"/>
                <w:kern w:val="0"/>
                <w:sz w:val="22"/>
                <w:szCs w:val="22"/>
              </w:rPr>
            </w:pPr>
            <w:r>
              <w:rPr>
                <w:rFonts w:hint="eastAsia" w:ascii="宋体" w:hAnsi="宋体" w:cs="宋体"/>
                <w:color w:val="000000"/>
                <w:kern w:val="0"/>
                <w:sz w:val="22"/>
                <w:szCs w:val="22"/>
              </w:rPr>
              <w:t>《上海市食品安全信息追溯管理办法》 第十条</w:t>
            </w: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宋体" w:hAnsi="宋体" w:cs="宋体"/>
                <w:color w:val="000000"/>
                <w:kern w:val="0"/>
                <w:sz w:val="28"/>
                <w:szCs w:val="28"/>
              </w:rPr>
            </w:pPr>
          </w:p>
        </w:tc>
      </w:tr>
      <w:tr>
        <w:tblPrEx>
          <w:tblLayout w:type="fixed"/>
          <w:tblCellMar>
            <w:top w:w="15" w:type="dxa"/>
            <w:left w:w="108" w:type="dxa"/>
            <w:bottom w:w="15" w:type="dxa"/>
            <w:right w:w="108" w:type="dxa"/>
          </w:tblCellMar>
        </w:tblPrEx>
        <w:trPr>
          <w:trHeight w:val="7817" w:hRule="atLeast"/>
        </w:trPr>
        <w:tc>
          <w:tcPr>
            <w:tcW w:w="158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5.5</w:t>
            </w:r>
          </w:p>
        </w:tc>
        <w:tc>
          <w:tcPr>
            <w:tcW w:w="241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积极推行“订单农业”“农超对接”“厂超挂钩”和“基地+加工企业+超市”等采购模式，使蔬菜来自规模种植基地，生鲜肉来自合法屠宰企业。</w:t>
            </w:r>
          </w:p>
        </w:tc>
        <w:tc>
          <w:tcPr>
            <w:tcW w:w="32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ascii="宋体" w:hAnsi="宋体" w:cs="宋体"/>
                <w:color w:val="000000"/>
                <w:kern w:val="0"/>
                <w:sz w:val="22"/>
                <w:szCs w:val="22"/>
              </w:rPr>
              <w:t>5.5.2采用“订单农业”模式或“农超对接”+“厂超挂钩”及“基地+加工企业+超市”模式（+3分）</w:t>
            </w:r>
            <w:r>
              <w:rPr>
                <w:rFonts w:hint="eastAsia" w:ascii="宋体" w:hAnsi="宋体" w:cs="宋体"/>
                <w:color w:val="000000"/>
                <w:kern w:val="0"/>
                <w:sz w:val="22"/>
                <w:szCs w:val="22"/>
              </w:rPr>
              <w:br w:type="textWrapping"/>
            </w:r>
            <w:r>
              <w:rPr>
                <w:rFonts w:ascii="宋体" w:hAnsi="宋体" w:cs="宋体"/>
                <w:color w:val="000000"/>
                <w:kern w:val="0"/>
                <w:sz w:val="22"/>
                <w:szCs w:val="22"/>
              </w:rPr>
              <w:t>●已推行“订单农业”采购模式，对种植养殖基地进行指导检查，并有采购合同及指导记录的，加1分</w:t>
            </w:r>
            <w:r>
              <w:rPr>
                <w:rFonts w:hint="eastAsia" w:ascii="宋体" w:hAnsi="宋体" w:cs="宋体"/>
                <w:color w:val="000000"/>
                <w:kern w:val="0"/>
                <w:sz w:val="22"/>
                <w:szCs w:val="22"/>
              </w:rPr>
              <w:br w:type="textWrapping"/>
            </w:r>
            <w:r>
              <w:rPr>
                <w:rFonts w:ascii="宋体" w:hAnsi="宋体" w:cs="宋体"/>
                <w:color w:val="000000"/>
                <w:kern w:val="0"/>
                <w:sz w:val="22"/>
                <w:szCs w:val="22"/>
              </w:rPr>
              <w:t>●推行“农超对接”“厂超挂钩”及“基地+加工企业+超市”等采购模式中的一种，且有采购合同及进货单，得1分；2种以上的，得2分</w:t>
            </w:r>
            <w:r>
              <w:rPr>
                <w:rFonts w:ascii="宋体" w:hAnsi="宋体" w:cs="宋体"/>
                <w:color w:val="FF0000"/>
                <w:kern w:val="0"/>
                <w:sz w:val="22"/>
                <w:szCs w:val="22"/>
              </w:rPr>
              <w:t>。</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查看采购合同，确认是否直接和种养殖基地和/或屠宰厂签订合同</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8"/>
                <w:szCs w:val="28"/>
              </w:rPr>
            </w:pPr>
          </w:p>
        </w:tc>
        <w:tc>
          <w:tcPr>
            <w:tcW w:w="253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沪食安办（2017）47号文（二）/ 5</w:t>
            </w: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8"/>
                <w:szCs w:val="28"/>
              </w:rPr>
            </w:pPr>
          </w:p>
        </w:tc>
      </w:tr>
      <w:tr>
        <w:tblPrEx>
          <w:tblLayout w:type="fixed"/>
          <w:tblCellMar>
            <w:top w:w="15" w:type="dxa"/>
            <w:left w:w="108" w:type="dxa"/>
            <w:bottom w:w="15" w:type="dxa"/>
            <w:right w:w="108" w:type="dxa"/>
          </w:tblCellMar>
        </w:tblPrEx>
        <w:trPr>
          <w:trHeight w:val="3368" w:hRule="atLeast"/>
        </w:trPr>
        <w:tc>
          <w:tcPr>
            <w:tcW w:w="158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宋体" w:hAnsi="宋体" w:cs="宋体"/>
                <w:b/>
                <w:bCs/>
                <w:color w:val="000000"/>
                <w:kern w:val="0"/>
                <w:sz w:val="24"/>
              </w:rPr>
            </w:pPr>
          </w:p>
        </w:tc>
        <w:tc>
          <w:tcPr>
            <w:tcW w:w="241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宋体" w:hAnsi="宋体" w:cs="宋体"/>
                <w:color w:val="000000"/>
                <w:kern w:val="0"/>
                <w:sz w:val="22"/>
                <w:szCs w:val="22"/>
              </w:rPr>
            </w:pPr>
          </w:p>
        </w:tc>
        <w:tc>
          <w:tcPr>
            <w:tcW w:w="321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宋体" w:hAnsi="宋体" w:cs="宋体"/>
                <w:color w:val="000000"/>
                <w:kern w:val="0"/>
                <w:sz w:val="22"/>
                <w:szCs w:val="22"/>
              </w:rPr>
            </w:pPr>
            <w:r>
              <w:rPr>
                <w:rFonts w:ascii="宋体" w:hAnsi="宋体" w:cs="宋体"/>
                <w:color w:val="000000"/>
                <w:kern w:val="0"/>
                <w:sz w:val="22"/>
                <w:szCs w:val="22"/>
              </w:rPr>
              <w:t>5.5.3充分证据证明70%以上的蔬菜来自规模化种植基地，其他肉菜50%以上来自规模化种养植基地、加工企业（+4分）</w:t>
            </w:r>
            <w:r>
              <w:rPr>
                <w:rFonts w:hint="eastAsia" w:ascii="宋体" w:hAnsi="宋体" w:cs="宋体"/>
                <w:color w:val="000000"/>
                <w:kern w:val="0"/>
                <w:sz w:val="22"/>
                <w:szCs w:val="22"/>
              </w:rPr>
              <w:br w:type="textWrapping"/>
            </w:r>
            <w:r>
              <w:rPr>
                <w:rFonts w:ascii="宋体" w:hAnsi="宋体" w:cs="宋体"/>
                <w:color w:val="000000"/>
                <w:kern w:val="0"/>
                <w:sz w:val="22"/>
                <w:szCs w:val="22"/>
              </w:rPr>
              <w:t>●采购经营的活鱼来自规范的养殖场，并保证运输、暂养安全的，得1分；</w:t>
            </w:r>
            <w:r>
              <w:rPr>
                <w:rFonts w:hint="eastAsia" w:ascii="宋体" w:hAnsi="宋体" w:cs="宋体"/>
                <w:color w:val="000000"/>
                <w:kern w:val="0"/>
                <w:sz w:val="22"/>
                <w:szCs w:val="22"/>
              </w:rPr>
              <w:br w:type="textWrapping"/>
            </w:r>
            <w:r>
              <w:rPr>
                <w:rFonts w:ascii="宋体" w:hAnsi="宋体" w:cs="宋体"/>
                <w:color w:val="000000"/>
                <w:kern w:val="0"/>
                <w:sz w:val="22"/>
                <w:szCs w:val="22"/>
              </w:rPr>
              <w:t>●采购冻鱼、虾等来自加工企业的，得1分；</w:t>
            </w:r>
            <w:r>
              <w:rPr>
                <w:rFonts w:hint="eastAsia" w:ascii="宋体" w:hAnsi="宋体" w:cs="宋体"/>
                <w:color w:val="000000"/>
                <w:kern w:val="0"/>
                <w:sz w:val="22"/>
                <w:szCs w:val="22"/>
              </w:rPr>
              <w:br w:type="textWrapping"/>
            </w:r>
            <w:r>
              <w:rPr>
                <w:rFonts w:ascii="宋体" w:hAnsi="宋体" w:cs="宋体"/>
                <w:color w:val="000000"/>
                <w:kern w:val="0"/>
                <w:sz w:val="22"/>
                <w:szCs w:val="22"/>
              </w:rPr>
              <w:t>●采购禽、蛋来自养殖企业或者供应商的，得1分；</w:t>
            </w:r>
            <w:r>
              <w:rPr>
                <w:rFonts w:hint="eastAsia" w:ascii="宋体" w:hAnsi="宋体" w:cs="宋体"/>
                <w:color w:val="000000"/>
                <w:kern w:val="0"/>
                <w:sz w:val="22"/>
                <w:szCs w:val="22"/>
              </w:rPr>
              <w:br w:type="textWrapping"/>
            </w:r>
            <w:r>
              <w:rPr>
                <w:rFonts w:ascii="宋体" w:hAnsi="宋体" w:cs="宋体"/>
                <w:color w:val="000000"/>
                <w:kern w:val="0"/>
                <w:sz w:val="22"/>
                <w:szCs w:val="22"/>
              </w:rPr>
              <w:t>●采购蔬菜70%以上的品种来自规模化种植基地，得1分</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宋体" w:hAnsi="宋体" w:cs="宋体"/>
                <w:color w:val="000000"/>
                <w:kern w:val="0"/>
                <w:sz w:val="22"/>
                <w:szCs w:val="22"/>
              </w:rPr>
            </w:pPr>
            <w:r>
              <w:rPr>
                <w:rFonts w:hint="eastAsia" w:ascii="宋体" w:hAnsi="宋体" w:cs="宋体"/>
                <w:color w:val="000000"/>
                <w:kern w:val="0"/>
                <w:sz w:val="22"/>
                <w:szCs w:val="22"/>
              </w:rPr>
              <w:t>查看供应商采购合同、送货单、货款结算单，是否和采购合同的种养殖基地名称一致；是否属于同一企业管理</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宋体" w:hAnsi="宋体" w:cs="宋体"/>
                <w:color w:val="000000"/>
                <w:kern w:val="0"/>
                <w:sz w:val="28"/>
                <w:szCs w:val="28"/>
              </w:rPr>
            </w:pPr>
          </w:p>
        </w:tc>
        <w:tc>
          <w:tcPr>
            <w:tcW w:w="253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宋体" w:hAnsi="宋体" w:cs="宋体"/>
                <w:color w:val="000000"/>
                <w:kern w:val="0"/>
                <w:sz w:val="22"/>
                <w:szCs w:val="22"/>
              </w:rPr>
            </w:pP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宋体" w:hAnsi="宋体" w:cs="宋体"/>
                <w:color w:val="000000"/>
                <w:kern w:val="0"/>
                <w:sz w:val="28"/>
                <w:szCs w:val="28"/>
              </w:rPr>
            </w:pPr>
          </w:p>
        </w:tc>
      </w:tr>
      <w:tr>
        <w:tblPrEx>
          <w:tblLayout w:type="fixed"/>
          <w:tblCellMar>
            <w:top w:w="15" w:type="dxa"/>
            <w:left w:w="108" w:type="dxa"/>
            <w:bottom w:w="15" w:type="dxa"/>
            <w:right w:w="108" w:type="dxa"/>
          </w:tblCellMar>
        </w:tblPrEx>
        <w:trPr>
          <w:trHeight w:val="1715" w:hRule="atLeast"/>
        </w:trPr>
        <w:tc>
          <w:tcPr>
            <w:tcW w:w="158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宋体" w:hAnsi="宋体" w:cs="宋体"/>
                <w:b/>
                <w:bCs/>
                <w:color w:val="000000"/>
                <w:kern w:val="0"/>
                <w:sz w:val="24"/>
              </w:rPr>
            </w:pPr>
          </w:p>
        </w:tc>
        <w:tc>
          <w:tcPr>
            <w:tcW w:w="241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宋体" w:hAnsi="宋体" w:cs="宋体"/>
                <w:color w:val="000000"/>
                <w:kern w:val="0"/>
                <w:sz w:val="22"/>
                <w:szCs w:val="22"/>
              </w:rPr>
            </w:pPr>
          </w:p>
        </w:tc>
        <w:tc>
          <w:tcPr>
            <w:tcW w:w="321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宋体" w:hAnsi="宋体" w:cs="宋体"/>
                <w:color w:val="000000"/>
                <w:kern w:val="0"/>
                <w:sz w:val="22"/>
                <w:szCs w:val="22"/>
              </w:rPr>
            </w:pPr>
            <w:r>
              <w:rPr>
                <w:rFonts w:hint="eastAsia" w:ascii="宋体" w:hAnsi="宋体" w:cs="宋体"/>
                <w:color w:val="000000"/>
                <w:kern w:val="0"/>
                <w:sz w:val="22"/>
                <w:szCs w:val="22"/>
              </w:rPr>
              <w:t>5.5.4充分证据证明100%生鲜肉来自合法的规模屠宰厂（+2分）</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●选取一个供应商，抽查不同批次的进货单，货款结算单；有一个批次满足要求，加1分；直至2分加满</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宋体" w:hAnsi="宋体" w:cs="宋体"/>
                <w:color w:val="000000"/>
                <w:kern w:val="0"/>
                <w:sz w:val="22"/>
                <w:szCs w:val="22"/>
              </w:rPr>
            </w:pPr>
            <w:r>
              <w:rPr>
                <w:rFonts w:hint="eastAsia" w:ascii="宋体" w:hAnsi="宋体" w:cs="宋体"/>
                <w:color w:val="000000"/>
                <w:kern w:val="0"/>
                <w:sz w:val="22"/>
                <w:szCs w:val="22"/>
              </w:rPr>
              <w:t>查看送货单，货款结算单，是否和采购合同的屠宰场名称一致；屠宰厂的证件是否齐全有效</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宋体" w:hAnsi="宋体" w:cs="宋体"/>
                <w:color w:val="000000"/>
                <w:kern w:val="0"/>
                <w:sz w:val="28"/>
                <w:szCs w:val="28"/>
              </w:rPr>
            </w:pPr>
          </w:p>
        </w:tc>
        <w:tc>
          <w:tcPr>
            <w:tcW w:w="253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宋体" w:hAnsi="宋体" w:cs="宋体"/>
                <w:color w:val="000000"/>
                <w:kern w:val="0"/>
                <w:sz w:val="22"/>
                <w:szCs w:val="22"/>
              </w:rPr>
            </w:pP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宋体" w:hAnsi="宋体" w:cs="宋体"/>
                <w:color w:val="000000"/>
                <w:kern w:val="0"/>
                <w:sz w:val="28"/>
                <w:szCs w:val="28"/>
              </w:rPr>
            </w:pPr>
          </w:p>
        </w:tc>
      </w:tr>
      <w:tr>
        <w:tblPrEx>
          <w:tblLayout w:type="fixed"/>
          <w:tblCellMar>
            <w:top w:w="15" w:type="dxa"/>
            <w:left w:w="108" w:type="dxa"/>
            <w:bottom w:w="15" w:type="dxa"/>
            <w:right w:w="108" w:type="dxa"/>
          </w:tblCellMar>
        </w:tblPrEx>
        <w:trPr>
          <w:trHeight w:val="1164" w:hRule="atLeast"/>
        </w:trPr>
        <w:tc>
          <w:tcPr>
            <w:tcW w:w="158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4"/>
              </w:rPr>
            </w:pPr>
          </w:p>
        </w:tc>
        <w:tc>
          <w:tcPr>
            <w:tcW w:w="241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32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5.5.5抽查历年的送货记录，查看直采可控的采购量逐年递增情况（递增量&lt;10%：+1分；递增量10%~50%：+2分；递增量&gt;51%：+3分）</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抽查前2年的汇总表，核实进货量及退货量。</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8"/>
                <w:szCs w:val="28"/>
              </w:rPr>
            </w:pPr>
          </w:p>
        </w:tc>
        <w:tc>
          <w:tcPr>
            <w:tcW w:w="253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8"/>
                <w:szCs w:val="28"/>
              </w:rPr>
            </w:pPr>
          </w:p>
        </w:tc>
      </w:tr>
      <w:tr>
        <w:tblPrEx>
          <w:tblLayout w:type="fixed"/>
          <w:tblCellMar>
            <w:top w:w="15" w:type="dxa"/>
            <w:left w:w="108" w:type="dxa"/>
            <w:bottom w:w="15" w:type="dxa"/>
            <w:right w:w="108" w:type="dxa"/>
          </w:tblCellMar>
        </w:tblPrEx>
        <w:trPr>
          <w:trHeight w:val="1041" w:hRule="atLeast"/>
        </w:trPr>
        <w:tc>
          <w:tcPr>
            <w:tcW w:w="158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4"/>
              </w:rPr>
            </w:pPr>
          </w:p>
        </w:tc>
        <w:tc>
          <w:tcPr>
            <w:tcW w:w="241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32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5.5.6积极探索直采可控的合作方式，且有充分证据材料已达到合作双方互利的（+4分）</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●有一个创新的合作模式，加4分</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请企业自述，并提交相关证据</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8"/>
                <w:szCs w:val="28"/>
              </w:rPr>
            </w:pPr>
          </w:p>
        </w:tc>
        <w:tc>
          <w:tcPr>
            <w:tcW w:w="253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8"/>
                <w:szCs w:val="28"/>
              </w:rPr>
            </w:pPr>
          </w:p>
        </w:tc>
      </w:tr>
      <w:tr>
        <w:tblPrEx>
          <w:tblLayout w:type="fixed"/>
          <w:tblCellMar>
            <w:top w:w="15" w:type="dxa"/>
            <w:left w:w="108" w:type="dxa"/>
            <w:bottom w:w="15" w:type="dxa"/>
            <w:right w:w="108" w:type="dxa"/>
          </w:tblCellMar>
        </w:tblPrEx>
        <w:trPr>
          <w:trHeight w:val="398" w:hRule="atLeast"/>
        </w:trPr>
        <w:tc>
          <w:tcPr>
            <w:tcW w:w="14611" w:type="dxa"/>
            <w:gridSpan w:val="8"/>
            <w:tcBorders>
              <w:top w:val="single" w:color="000000" w:sz="4" w:space="0"/>
              <w:left w:val="single" w:color="000000" w:sz="4" w:space="0"/>
              <w:bottom w:val="single" w:color="auto" w:sz="4" w:space="0"/>
              <w:right w:val="single" w:color="000000" w:sz="4" w:space="0"/>
            </w:tcBorders>
            <w:vAlign w:val="center"/>
          </w:tcPr>
          <w:p>
            <w:pPr>
              <w:widowControl/>
              <w:jc w:val="left"/>
              <w:rPr>
                <w:rFonts w:ascii="宋体" w:hAnsi="宋体" w:cs="宋体"/>
                <w:b/>
                <w:bCs/>
                <w:color w:val="000000"/>
                <w:kern w:val="0"/>
                <w:sz w:val="24"/>
              </w:rPr>
            </w:pPr>
            <w:r>
              <w:rPr>
                <w:rFonts w:ascii="宋体" w:hAnsi="宋体" w:cs="宋体"/>
                <w:b/>
                <w:bCs/>
                <w:color w:val="000000"/>
                <w:kern w:val="0"/>
                <w:sz w:val="24"/>
              </w:rPr>
              <w:t>6、销售过程规范（36分）</w:t>
            </w:r>
          </w:p>
        </w:tc>
      </w:tr>
      <w:tr>
        <w:tblPrEx>
          <w:tblLayout w:type="fixed"/>
          <w:tblCellMar>
            <w:top w:w="15" w:type="dxa"/>
            <w:left w:w="108" w:type="dxa"/>
            <w:bottom w:w="15" w:type="dxa"/>
            <w:right w:w="108" w:type="dxa"/>
          </w:tblCellMar>
        </w:tblPrEx>
        <w:trPr>
          <w:trHeight w:val="1899" w:hRule="atLeast"/>
        </w:trPr>
        <w:tc>
          <w:tcPr>
            <w:tcW w:w="158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6.1</w:t>
            </w:r>
          </w:p>
        </w:tc>
        <w:tc>
          <w:tcPr>
            <w:tcW w:w="241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按照食用农产品经营过程规范的有关要求，强化肉菜销售过程质量安全管理，提高规范化水平。</w:t>
            </w:r>
          </w:p>
        </w:tc>
        <w:tc>
          <w:tcPr>
            <w:tcW w:w="321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6.1.1肉菜应分类存放售卖，并维护良好：</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●贮存、售卖现场环节设施维护良好，整洁，无污物和明显积水，+1分；</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●简单清洗，切配加工环节的要有清洁消毒计划（SOP），+1分；</w:t>
            </w:r>
          </w:p>
        </w:tc>
        <w:tc>
          <w:tcPr>
            <w:tcW w:w="182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查看现场环境及SOP</w:t>
            </w:r>
          </w:p>
        </w:tc>
        <w:tc>
          <w:tcPr>
            <w:tcW w:w="70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70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color w:val="000000"/>
                <w:kern w:val="0"/>
                <w:sz w:val="28"/>
                <w:szCs w:val="28"/>
              </w:rPr>
            </w:pPr>
          </w:p>
        </w:tc>
        <w:tc>
          <w:tcPr>
            <w:tcW w:w="25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《“放心肉菜示范超市”验收标准》总局下发</w:t>
            </w:r>
          </w:p>
        </w:tc>
        <w:tc>
          <w:tcPr>
            <w:tcW w:w="163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8"/>
                <w:szCs w:val="28"/>
              </w:rPr>
            </w:pPr>
          </w:p>
        </w:tc>
      </w:tr>
      <w:tr>
        <w:tblPrEx>
          <w:tblLayout w:type="fixed"/>
          <w:tblCellMar>
            <w:top w:w="15" w:type="dxa"/>
            <w:left w:w="108" w:type="dxa"/>
            <w:bottom w:w="15" w:type="dxa"/>
            <w:right w:w="108" w:type="dxa"/>
          </w:tblCellMar>
        </w:tblPrEx>
        <w:trPr>
          <w:trHeight w:val="3281" w:hRule="atLeast"/>
        </w:trPr>
        <w:tc>
          <w:tcPr>
            <w:tcW w:w="1589"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4"/>
              </w:rPr>
            </w:pPr>
          </w:p>
        </w:tc>
        <w:tc>
          <w:tcPr>
            <w:tcW w:w="2416"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3217" w:type="dxa"/>
            <w:tcBorders>
              <w:top w:val="single" w:color="auto"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6.1.2有效执行FIFO原则（先进先出）（+1分）</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●有批次管理表，加1分</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●或现场抽查一批次的肉菜，及该批次的前3个批次，进行库存量检查，能符合要求的加1分</w:t>
            </w:r>
          </w:p>
        </w:tc>
        <w:tc>
          <w:tcPr>
            <w:tcW w:w="1822" w:type="dxa"/>
            <w:tcBorders>
              <w:top w:val="single" w:color="auto"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现场查看库存肉菜的批次，是否做到FIFO</w:t>
            </w:r>
          </w:p>
        </w:tc>
        <w:tc>
          <w:tcPr>
            <w:tcW w:w="701"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701" w:type="dxa"/>
            <w:tcBorders>
              <w:top w:val="single" w:color="auto"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8"/>
                <w:szCs w:val="28"/>
              </w:rPr>
            </w:pPr>
          </w:p>
        </w:tc>
        <w:tc>
          <w:tcPr>
            <w:tcW w:w="2535" w:type="dxa"/>
            <w:vMerge w:val="restart"/>
            <w:tcBorders>
              <w:top w:val="single" w:color="auto"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食品安全监督检查标准规程(流通)A5021 及 《上海市食品经营许可管理实施办法（试行）2017》/上海市食品经营许可审查细则/1.3</w:t>
            </w:r>
          </w:p>
        </w:tc>
        <w:tc>
          <w:tcPr>
            <w:tcW w:w="1630" w:type="dxa"/>
            <w:tcBorders>
              <w:top w:val="single" w:color="auto"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8"/>
                <w:szCs w:val="28"/>
              </w:rPr>
            </w:pPr>
          </w:p>
        </w:tc>
      </w:tr>
      <w:tr>
        <w:tblPrEx>
          <w:tblLayout w:type="fixed"/>
          <w:tblCellMar>
            <w:top w:w="15" w:type="dxa"/>
            <w:left w:w="108" w:type="dxa"/>
            <w:bottom w:w="15" w:type="dxa"/>
            <w:right w:w="108" w:type="dxa"/>
          </w:tblCellMar>
        </w:tblPrEx>
        <w:trPr>
          <w:trHeight w:val="4363" w:hRule="atLeast"/>
        </w:trPr>
        <w:tc>
          <w:tcPr>
            <w:tcW w:w="158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4"/>
              </w:rPr>
            </w:pPr>
          </w:p>
        </w:tc>
        <w:tc>
          <w:tcPr>
            <w:tcW w:w="241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32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6.1.3有温湿度需要的肉菜，全程温湿度监控（包括加工、分割过程），并形成记录（+2分）</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●提交一个批次肉菜的运输、存储、加工间的温度检查记录，加1分</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●现场查看加工间（分拣、分割等）温度控制是否达到要求，加1分</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提问管理员、现场核实</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8"/>
                <w:szCs w:val="28"/>
              </w:rPr>
            </w:pPr>
          </w:p>
        </w:tc>
        <w:tc>
          <w:tcPr>
            <w:tcW w:w="253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8"/>
                <w:szCs w:val="28"/>
              </w:rPr>
            </w:pPr>
          </w:p>
        </w:tc>
      </w:tr>
      <w:tr>
        <w:tblPrEx>
          <w:tblLayout w:type="fixed"/>
          <w:tblCellMar>
            <w:top w:w="15" w:type="dxa"/>
            <w:left w:w="108" w:type="dxa"/>
            <w:bottom w:w="15" w:type="dxa"/>
            <w:right w:w="108" w:type="dxa"/>
          </w:tblCellMar>
        </w:tblPrEx>
        <w:trPr>
          <w:trHeight w:val="1777" w:hRule="atLeast"/>
        </w:trPr>
        <w:tc>
          <w:tcPr>
            <w:tcW w:w="158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4"/>
              </w:rPr>
            </w:pPr>
          </w:p>
        </w:tc>
        <w:tc>
          <w:tcPr>
            <w:tcW w:w="241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32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6.1.4定期检查库存及售卖环节的肉菜品质（+2分）</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●现场销售生鲜肉中心温度达到贮存温度要求，加1分</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●有库存肉菜及在售肉菜检查表的，加1分</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ascii="宋体" w:hAnsi="宋体" w:cs="宋体"/>
                <w:color w:val="000000"/>
                <w:kern w:val="0"/>
                <w:sz w:val="22"/>
                <w:szCs w:val="22"/>
              </w:rPr>
              <w:t>抽问仓管员，现场查看库存状况，肉菜检查表</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8"/>
                <w:szCs w:val="28"/>
              </w:rPr>
            </w:pPr>
          </w:p>
        </w:tc>
        <w:tc>
          <w:tcPr>
            <w:tcW w:w="253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《食用农产品市场销售质量安全监督管理办法》国食药监第20号令 第二十七条、第二十八条</w:t>
            </w: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8"/>
                <w:szCs w:val="28"/>
              </w:rPr>
            </w:pPr>
          </w:p>
        </w:tc>
      </w:tr>
      <w:tr>
        <w:tblPrEx>
          <w:tblLayout w:type="fixed"/>
          <w:tblCellMar>
            <w:top w:w="15" w:type="dxa"/>
            <w:left w:w="108" w:type="dxa"/>
            <w:bottom w:w="15" w:type="dxa"/>
            <w:right w:w="108" w:type="dxa"/>
          </w:tblCellMar>
        </w:tblPrEx>
        <w:trPr>
          <w:trHeight w:val="1409" w:hRule="atLeast"/>
        </w:trPr>
        <w:tc>
          <w:tcPr>
            <w:tcW w:w="158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4"/>
              </w:rPr>
            </w:pPr>
          </w:p>
        </w:tc>
        <w:tc>
          <w:tcPr>
            <w:tcW w:w="241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32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6.1.5当天清理销毁感官性状异常的肉菜（+1分）</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●管理员能正确回答何种性状的肉菜需销毁，并提交销毁录像证明的，加1分</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现场查看，抽查录像，询问仓库管理员如果检查，处理有异常肉菜</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8"/>
                <w:szCs w:val="28"/>
              </w:rPr>
            </w:pPr>
          </w:p>
        </w:tc>
        <w:tc>
          <w:tcPr>
            <w:tcW w:w="253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8"/>
                <w:szCs w:val="28"/>
              </w:rPr>
            </w:pPr>
          </w:p>
        </w:tc>
      </w:tr>
      <w:tr>
        <w:tblPrEx>
          <w:tblLayout w:type="fixed"/>
          <w:tblCellMar>
            <w:top w:w="15" w:type="dxa"/>
            <w:left w:w="108" w:type="dxa"/>
            <w:bottom w:w="15" w:type="dxa"/>
            <w:right w:w="108" w:type="dxa"/>
          </w:tblCellMar>
        </w:tblPrEx>
        <w:trPr>
          <w:trHeight w:val="1715" w:hRule="atLeast"/>
        </w:trPr>
        <w:tc>
          <w:tcPr>
            <w:tcW w:w="158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4"/>
              </w:rPr>
            </w:pPr>
          </w:p>
        </w:tc>
        <w:tc>
          <w:tcPr>
            <w:tcW w:w="241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32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6.1.6配备与肉菜品种、数量、温度相适应，且符合食品安全标准或相关要求的设施设备和工具，并有效监控（+1分）</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●仓库管理员能正确回答的，并能提交记录的，加1分</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询问仓库管理员，温湿度要求、空调维修，检查，清洗频率；设备出现异常如何纠偏</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8"/>
                <w:szCs w:val="28"/>
              </w:rPr>
            </w:pPr>
          </w:p>
        </w:tc>
        <w:tc>
          <w:tcPr>
            <w:tcW w:w="253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8"/>
                <w:szCs w:val="28"/>
              </w:rPr>
            </w:pPr>
          </w:p>
        </w:tc>
      </w:tr>
      <w:tr>
        <w:tblPrEx>
          <w:tblLayout w:type="fixed"/>
          <w:tblCellMar>
            <w:top w:w="15" w:type="dxa"/>
            <w:left w:w="108" w:type="dxa"/>
            <w:bottom w:w="15" w:type="dxa"/>
            <w:right w:w="108" w:type="dxa"/>
          </w:tblCellMar>
        </w:tblPrEx>
        <w:trPr>
          <w:trHeight w:val="1348" w:hRule="atLeast"/>
        </w:trPr>
        <w:tc>
          <w:tcPr>
            <w:tcW w:w="158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4"/>
              </w:rPr>
            </w:pPr>
          </w:p>
        </w:tc>
        <w:tc>
          <w:tcPr>
            <w:tcW w:w="241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32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6.1.7 与有毒有害物品完全分开储存（+1分）</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●现场没有发现有毒有害物品，加1分</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查看常温，冷藏，冷冻库及销售现场，有无和有毒有害物品存放一起（常见杀虫剂，灭蟑药）</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8"/>
                <w:szCs w:val="28"/>
              </w:rPr>
            </w:pPr>
          </w:p>
        </w:tc>
        <w:tc>
          <w:tcPr>
            <w:tcW w:w="253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8"/>
                <w:szCs w:val="28"/>
              </w:rPr>
            </w:pPr>
          </w:p>
        </w:tc>
      </w:tr>
      <w:tr>
        <w:tblPrEx>
          <w:tblLayout w:type="fixed"/>
          <w:tblCellMar>
            <w:top w:w="15" w:type="dxa"/>
            <w:left w:w="108" w:type="dxa"/>
            <w:bottom w:w="15" w:type="dxa"/>
            <w:right w:w="108" w:type="dxa"/>
          </w:tblCellMar>
        </w:tblPrEx>
        <w:trPr>
          <w:trHeight w:val="1777" w:hRule="atLeast"/>
        </w:trPr>
        <w:tc>
          <w:tcPr>
            <w:tcW w:w="158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4"/>
              </w:rPr>
            </w:pPr>
          </w:p>
        </w:tc>
        <w:tc>
          <w:tcPr>
            <w:tcW w:w="241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32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6.1.8超市收货应建立不合格品控制规范，对拒收、换货、让步接收、销毁建立明确的作业指导书（+2分）</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●内容齐全，有效的加2分，有任一缺失的，加1分</w:t>
            </w:r>
          </w:p>
        </w:tc>
        <w:tc>
          <w:tcPr>
            <w:tcW w:w="1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查看不合格品控制规范</w:t>
            </w:r>
          </w:p>
        </w:tc>
        <w:tc>
          <w:tcPr>
            <w:tcW w:w="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hAnsi="宋体" w:cs="宋体"/>
                <w:color w:val="000000"/>
                <w:kern w:val="0"/>
                <w:sz w:val="28"/>
                <w:szCs w:val="28"/>
              </w:rPr>
            </w:pPr>
          </w:p>
        </w:tc>
        <w:tc>
          <w:tcPr>
            <w:tcW w:w="25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《“放心肉菜示范超市”验收标准》总局下发</w:t>
            </w: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8"/>
                <w:szCs w:val="28"/>
              </w:rPr>
            </w:pPr>
          </w:p>
        </w:tc>
      </w:tr>
      <w:tr>
        <w:tblPrEx>
          <w:tblLayout w:type="fixed"/>
          <w:tblCellMar>
            <w:top w:w="15" w:type="dxa"/>
            <w:left w:w="108" w:type="dxa"/>
            <w:bottom w:w="15" w:type="dxa"/>
            <w:right w:w="108" w:type="dxa"/>
          </w:tblCellMar>
        </w:tblPrEx>
        <w:trPr>
          <w:trHeight w:val="2451" w:hRule="atLeast"/>
        </w:trPr>
        <w:tc>
          <w:tcPr>
            <w:tcW w:w="158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4"/>
              </w:rPr>
            </w:pPr>
          </w:p>
        </w:tc>
        <w:tc>
          <w:tcPr>
            <w:tcW w:w="241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32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6.1.9运输肉菜的容器，工具和车辆，驾驶员应做到批批检查和记录：检查内容至少包括运输过程的温湿度，是否食品级容器，有无同有毒有害物品一起运输，车辆和驾驶员信息登记。（+2分）</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●询问检查人员，检查和记录的项目，符合程序文件规定，加1分</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●有记录证明，加1分</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查看检查记录，询问记录人员</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8"/>
                <w:szCs w:val="28"/>
              </w:rPr>
            </w:pPr>
          </w:p>
        </w:tc>
        <w:tc>
          <w:tcPr>
            <w:tcW w:w="25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《食用农产品市场销售质量安全监督管理办法》国食药监第20号令 第二十九条 及 食品安全监督检查标准规程(流通)A5013</w:t>
            </w: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8"/>
                <w:szCs w:val="28"/>
              </w:rPr>
            </w:pPr>
          </w:p>
        </w:tc>
      </w:tr>
      <w:tr>
        <w:tblPrEx>
          <w:tblLayout w:type="fixed"/>
          <w:tblCellMar>
            <w:top w:w="15" w:type="dxa"/>
            <w:left w:w="108" w:type="dxa"/>
            <w:bottom w:w="15" w:type="dxa"/>
            <w:right w:w="108" w:type="dxa"/>
          </w:tblCellMar>
        </w:tblPrEx>
        <w:trPr>
          <w:trHeight w:val="2934" w:hRule="atLeast"/>
        </w:trPr>
        <w:tc>
          <w:tcPr>
            <w:tcW w:w="158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4"/>
              </w:rPr>
            </w:pPr>
          </w:p>
        </w:tc>
        <w:tc>
          <w:tcPr>
            <w:tcW w:w="241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32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6.1.10 禽蛋等未强制规定需冷链运输的采取全程冷链（+2分）</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●有温度检查记录，且现场核实符合的，加1分</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●对蔬菜进行产地预冷，全程冷链运输的，加1分</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请企业自述，并提交相关证据</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8"/>
                <w:szCs w:val="28"/>
              </w:rPr>
            </w:pPr>
          </w:p>
        </w:tc>
        <w:tc>
          <w:tcPr>
            <w:tcW w:w="253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《食用农产品市场销售质量安全监督管理办法》国食药监第20号令 第二十四条 </w:t>
            </w: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8"/>
                <w:szCs w:val="28"/>
              </w:rPr>
            </w:pPr>
          </w:p>
        </w:tc>
      </w:tr>
      <w:tr>
        <w:tblPrEx>
          <w:tblLayout w:type="fixed"/>
          <w:tblCellMar>
            <w:top w:w="15" w:type="dxa"/>
            <w:left w:w="108" w:type="dxa"/>
            <w:bottom w:w="15" w:type="dxa"/>
            <w:right w:w="108" w:type="dxa"/>
          </w:tblCellMar>
        </w:tblPrEx>
        <w:trPr>
          <w:trHeight w:val="2069" w:hRule="atLeast"/>
        </w:trPr>
        <w:tc>
          <w:tcPr>
            <w:tcW w:w="158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4"/>
              </w:rPr>
            </w:pPr>
          </w:p>
        </w:tc>
        <w:tc>
          <w:tcPr>
            <w:tcW w:w="241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32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6.1.11 全部采用净菜上市（+1分）</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●现场核实，符合要求的，加1分</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请企业自述，并提交相关证据</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8"/>
                <w:szCs w:val="28"/>
              </w:rPr>
            </w:pPr>
          </w:p>
        </w:tc>
        <w:tc>
          <w:tcPr>
            <w:tcW w:w="253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8"/>
                <w:szCs w:val="28"/>
              </w:rPr>
            </w:pPr>
          </w:p>
        </w:tc>
      </w:tr>
      <w:tr>
        <w:tblPrEx>
          <w:tblLayout w:type="fixed"/>
          <w:tblCellMar>
            <w:top w:w="15" w:type="dxa"/>
            <w:left w:w="108" w:type="dxa"/>
            <w:bottom w:w="15" w:type="dxa"/>
            <w:right w:w="108" w:type="dxa"/>
          </w:tblCellMar>
        </w:tblPrEx>
        <w:trPr>
          <w:trHeight w:val="2114" w:hRule="atLeast"/>
        </w:trPr>
        <w:tc>
          <w:tcPr>
            <w:tcW w:w="158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4"/>
              </w:rPr>
            </w:pPr>
            <w:r>
              <w:rPr>
                <w:rFonts w:hint="eastAsia" w:ascii="宋体" w:hAnsi="宋体" w:cs="宋体"/>
                <w:b/>
                <w:bCs/>
                <w:color w:val="000000"/>
                <w:kern w:val="0"/>
                <w:sz w:val="24"/>
              </w:rPr>
              <w:t>6.2</w:t>
            </w:r>
          </w:p>
        </w:tc>
        <w:tc>
          <w:tcPr>
            <w:tcW w:w="241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ascii="宋体" w:hAnsi="宋体" w:cs="宋体"/>
                <w:color w:val="000000"/>
                <w:kern w:val="0"/>
                <w:sz w:val="22"/>
                <w:szCs w:val="22"/>
              </w:rPr>
              <w:t>肉品、蔬菜进行预冷、分拣、包装的，要配备相应的设施设备，保证肉菜等食用农产品质量安全，倡导采用低温冷藏、冷冻柜销售肉菜。</w:t>
            </w:r>
          </w:p>
        </w:tc>
        <w:tc>
          <w:tcPr>
            <w:tcW w:w="32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ascii="宋体" w:hAnsi="宋体" w:cs="宋体"/>
                <w:color w:val="000000"/>
                <w:kern w:val="0"/>
                <w:sz w:val="22"/>
                <w:szCs w:val="22"/>
              </w:rPr>
              <w:t>6.2.1肉菜加工（预冷，分拣，包装等）间检查异物，污染物控制措施:灯管的防爆装置，灭蝇灯的位置，捕鼠笼是否为非诱饵式，空调的定期清洗消毒，操作台上方有无冷凝水等</w:t>
            </w:r>
            <w:r>
              <w:rPr>
                <w:rFonts w:hint="eastAsia" w:ascii="宋体" w:hAnsi="宋体" w:cs="宋体"/>
                <w:color w:val="000000"/>
                <w:kern w:val="0"/>
                <w:sz w:val="22"/>
                <w:szCs w:val="22"/>
              </w:rPr>
              <w:br w:type="textWrapping"/>
            </w:r>
            <w:r>
              <w:rPr>
                <w:rFonts w:ascii="宋体" w:hAnsi="宋体" w:cs="宋体"/>
                <w:color w:val="000000"/>
                <w:kern w:val="0"/>
                <w:sz w:val="22"/>
                <w:szCs w:val="22"/>
              </w:rPr>
              <w:t>●全符合加2分</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现场检查</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8"/>
                <w:szCs w:val="28"/>
              </w:rPr>
            </w:pPr>
          </w:p>
        </w:tc>
        <w:tc>
          <w:tcPr>
            <w:tcW w:w="25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《食品经营许可管理办法》第17号令 第十一条/（二）及 《上海市食品经营许可管理实施办法（试行）2017》/上海市食品经营许可审查细则/3.2.5</w:t>
            </w: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8"/>
                <w:szCs w:val="28"/>
              </w:rPr>
            </w:pPr>
          </w:p>
        </w:tc>
      </w:tr>
      <w:tr>
        <w:tblPrEx>
          <w:tblLayout w:type="fixed"/>
          <w:tblCellMar>
            <w:top w:w="15" w:type="dxa"/>
            <w:left w:w="108" w:type="dxa"/>
            <w:bottom w:w="15" w:type="dxa"/>
            <w:right w:w="108" w:type="dxa"/>
          </w:tblCellMar>
        </w:tblPrEx>
        <w:trPr>
          <w:trHeight w:val="1102" w:hRule="atLeast"/>
        </w:trPr>
        <w:tc>
          <w:tcPr>
            <w:tcW w:w="158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4"/>
              </w:rPr>
            </w:pPr>
          </w:p>
        </w:tc>
        <w:tc>
          <w:tcPr>
            <w:tcW w:w="241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32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6.2.2 加工产生的废弃物交由专业处理机构（+1分）</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●有委托处理协议，加1分</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查看委托处理废弃物协议，核实处理方是否有资质</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8"/>
                <w:szCs w:val="28"/>
              </w:rPr>
            </w:pPr>
          </w:p>
        </w:tc>
        <w:tc>
          <w:tcPr>
            <w:tcW w:w="253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《上海市食品经营许可管理实施办法（试行）2017》第十一条/（五）</w:t>
            </w: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8"/>
                <w:szCs w:val="28"/>
              </w:rPr>
            </w:pPr>
          </w:p>
        </w:tc>
      </w:tr>
      <w:tr>
        <w:tblPrEx>
          <w:tblLayout w:type="fixed"/>
          <w:tblCellMar>
            <w:top w:w="15" w:type="dxa"/>
            <w:left w:w="108" w:type="dxa"/>
            <w:bottom w:w="15" w:type="dxa"/>
            <w:right w:w="108" w:type="dxa"/>
          </w:tblCellMar>
        </w:tblPrEx>
        <w:trPr>
          <w:trHeight w:val="2386" w:hRule="atLeast"/>
        </w:trPr>
        <w:tc>
          <w:tcPr>
            <w:tcW w:w="158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4"/>
              </w:rPr>
            </w:pPr>
          </w:p>
        </w:tc>
        <w:tc>
          <w:tcPr>
            <w:tcW w:w="241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32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6.2.3 垃圾分类存放，垃圾筒加盖且防止与原料、成品交叉污染，避免接触有毒物、不洁物（+1分）</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●有一个不符合，不给分</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现场查看</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8"/>
                <w:szCs w:val="28"/>
              </w:rPr>
            </w:pPr>
          </w:p>
        </w:tc>
        <w:tc>
          <w:tcPr>
            <w:tcW w:w="253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8"/>
                <w:szCs w:val="28"/>
              </w:rPr>
            </w:pPr>
          </w:p>
        </w:tc>
      </w:tr>
      <w:tr>
        <w:tblPrEx>
          <w:tblLayout w:type="fixed"/>
          <w:tblCellMar>
            <w:top w:w="15" w:type="dxa"/>
            <w:left w:w="108" w:type="dxa"/>
            <w:bottom w:w="15" w:type="dxa"/>
            <w:right w:w="108" w:type="dxa"/>
          </w:tblCellMar>
        </w:tblPrEx>
        <w:trPr>
          <w:trHeight w:val="1669" w:hRule="atLeast"/>
        </w:trPr>
        <w:tc>
          <w:tcPr>
            <w:tcW w:w="158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4"/>
              </w:rPr>
            </w:pPr>
          </w:p>
        </w:tc>
        <w:tc>
          <w:tcPr>
            <w:tcW w:w="241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32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6.2.4 垃圾定期处理（+1分）</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●查看处理记录，能证明至少一天处理一次的，加1分</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●没有记录，根据加工量估算垃圾量，严重不符合每天处理的，不给分</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现场查看，抽查记录，询问现场加工人员</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8"/>
                <w:szCs w:val="28"/>
              </w:rPr>
            </w:pPr>
          </w:p>
        </w:tc>
        <w:tc>
          <w:tcPr>
            <w:tcW w:w="253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8"/>
                <w:szCs w:val="28"/>
              </w:rPr>
            </w:pPr>
          </w:p>
        </w:tc>
      </w:tr>
      <w:tr>
        <w:tblPrEx>
          <w:tblLayout w:type="fixed"/>
          <w:tblCellMar>
            <w:top w:w="15" w:type="dxa"/>
            <w:left w:w="108" w:type="dxa"/>
            <w:bottom w:w="15" w:type="dxa"/>
            <w:right w:w="108" w:type="dxa"/>
          </w:tblCellMar>
        </w:tblPrEx>
        <w:trPr>
          <w:trHeight w:val="1654" w:hRule="atLeast"/>
        </w:trPr>
        <w:tc>
          <w:tcPr>
            <w:tcW w:w="158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4"/>
              </w:rPr>
            </w:pPr>
          </w:p>
        </w:tc>
        <w:tc>
          <w:tcPr>
            <w:tcW w:w="241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32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6.2.5低温冷藏销售模式覆盖率：</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●叶菜类等易腐菜品100%全覆盖，现场测温合格，保持记录，+1分；</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●有机，绿色等认证的叶菜类100%全覆盖，现场测温合格，保持记录，+1分</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企业自述，现场测温</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8"/>
                <w:szCs w:val="28"/>
              </w:rPr>
            </w:pPr>
          </w:p>
        </w:tc>
        <w:tc>
          <w:tcPr>
            <w:tcW w:w="25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沪食安办（2017）47号文（二）/ 6</w:t>
            </w: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8"/>
                <w:szCs w:val="28"/>
              </w:rPr>
            </w:pPr>
          </w:p>
        </w:tc>
      </w:tr>
      <w:tr>
        <w:tblPrEx>
          <w:tblLayout w:type="fixed"/>
          <w:tblCellMar>
            <w:top w:w="15" w:type="dxa"/>
            <w:left w:w="108" w:type="dxa"/>
            <w:bottom w:w="15" w:type="dxa"/>
            <w:right w:w="108" w:type="dxa"/>
          </w:tblCellMar>
        </w:tblPrEx>
        <w:trPr>
          <w:trHeight w:val="2162" w:hRule="atLeast"/>
        </w:trPr>
        <w:tc>
          <w:tcPr>
            <w:tcW w:w="158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6.3</w:t>
            </w:r>
          </w:p>
        </w:tc>
        <w:tc>
          <w:tcPr>
            <w:tcW w:w="241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包装的食用农产品标识要符合相关要求，散装的食用农产品要注明名称、产地、生产日期、保质期。</w:t>
            </w:r>
          </w:p>
        </w:tc>
        <w:tc>
          <w:tcPr>
            <w:tcW w:w="32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6.3.2包装的普通食用农产品标识应完整，现场抽查2个肉菜进行验证（+2分）</w:t>
            </w:r>
          </w:p>
        </w:tc>
        <w:tc>
          <w:tcPr>
            <w:tcW w:w="182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ascii="宋体" w:hAnsi="宋体" w:cs="宋体"/>
                <w:color w:val="000000"/>
                <w:kern w:val="0"/>
                <w:sz w:val="22"/>
                <w:szCs w:val="22"/>
              </w:rPr>
              <w:t>现场抽查肉菜标签，是否符合《食用农产品市场销售质量安全监督管理办法》国食药监第20号令 第三十二条~三十五条要求</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8"/>
                <w:szCs w:val="28"/>
              </w:rPr>
            </w:pPr>
          </w:p>
        </w:tc>
        <w:tc>
          <w:tcPr>
            <w:tcW w:w="253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《食用农产品市场销售质量安全监督管理办法》国食药监第20号令 第三十二条~三十五条</w:t>
            </w: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8"/>
                <w:szCs w:val="28"/>
              </w:rPr>
            </w:pPr>
          </w:p>
        </w:tc>
      </w:tr>
      <w:tr>
        <w:tblPrEx>
          <w:tblLayout w:type="fixed"/>
          <w:tblCellMar>
            <w:top w:w="15" w:type="dxa"/>
            <w:left w:w="108" w:type="dxa"/>
            <w:bottom w:w="15" w:type="dxa"/>
            <w:right w:w="108" w:type="dxa"/>
          </w:tblCellMar>
        </w:tblPrEx>
        <w:trPr>
          <w:trHeight w:val="2362" w:hRule="atLeast"/>
        </w:trPr>
        <w:tc>
          <w:tcPr>
            <w:tcW w:w="158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4"/>
              </w:rPr>
            </w:pPr>
          </w:p>
        </w:tc>
        <w:tc>
          <w:tcPr>
            <w:tcW w:w="241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32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6.3.3 获得相关认证的食用农产品应符合相关法规对标识管理的要求，现场抽查2个肉菜进行验证（+2分）</w:t>
            </w:r>
          </w:p>
        </w:tc>
        <w:tc>
          <w:tcPr>
            <w:tcW w:w="182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8"/>
                <w:szCs w:val="28"/>
              </w:rPr>
            </w:pPr>
          </w:p>
        </w:tc>
        <w:tc>
          <w:tcPr>
            <w:tcW w:w="253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8"/>
                <w:szCs w:val="28"/>
              </w:rPr>
            </w:pPr>
          </w:p>
        </w:tc>
      </w:tr>
      <w:tr>
        <w:tblPrEx>
          <w:tblLayout w:type="fixed"/>
          <w:tblCellMar>
            <w:top w:w="15" w:type="dxa"/>
            <w:left w:w="108" w:type="dxa"/>
            <w:bottom w:w="15" w:type="dxa"/>
            <w:right w:w="108" w:type="dxa"/>
          </w:tblCellMar>
        </w:tblPrEx>
        <w:trPr>
          <w:trHeight w:val="2997" w:hRule="atLeast"/>
        </w:trPr>
        <w:tc>
          <w:tcPr>
            <w:tcW w:w="158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4"/>
              </w:rPr>
            </w:pPr>
          </w:p>
        </w:tc>
        <w:tc>
          <w:tcPr>
            <w:tcW w:w="241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32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6.3.4 散装食用农产品的标签标示应至少注明名称/产地/生产日期及保质期信息，现场抽查2个肉菜进行验证（+2分）</w:t>
            </w:r>
          </w:p>
        </w:tc>
        <w:tc>
          <w:tcPr>
            <w:tcW w:w="182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8"/>
                <w:szCs w:val="28"/>
              </w:rPr>
            </w:pPr>
          </w:p>
        </w:tc>
        <w:tc>
          <w:tcPr>
            <w:tcW w:w="253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8"/>
                <w:szCs w:val="28"/>
              </w:rPr>
            </w:pPr>
          </w:p>
        </w:tc>
      </w:tr>
      <w:tr>
        <w:tblPrEx>
          <w:tblLayout w:type="fixed"/>
          <w:tblCellMar>
            <w:top w:w="15" w:type="dxa"/>
            <w:left w:w="108" w:type="dxa"/>
            <w:bottom w:w="15" w:type="dxa"/>
            <w:right w:w="108" w:type="dxa"/>
          </w:tblCellMar>
        </w:tblPrEx>
        <w:trPr>
          <w:trHeight w:val="3132" w:hRule="atLeast"/>
        </w:trPr>
        <w:tc>
          <w:tcPr>
            <w:tcW w:w="158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4"/>
              </w:rPr>
            </w:pPr>
          </w:p>
        </w:tc>
        <w:tc>
          <w:tcPr>
            <w:tcW w:w="241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3217" w:type="dxa"/>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6.3.5 应定期对标识符合性进行自查，自查中发现标签标示不合格时，及时处理及改正，记录至少保存6个月。（+1分）</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●询问检查人员，并查看检查记录，符合要求加1分</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询问检查人员，自查内容，频率，纠偏流程，并现场示范</w:t>
            </w:r>
          </w:p>
        </w:tc>
        <w:tc>
          <w:tcPr>
            <w:tcW w:w="701" w:type="dxa"/>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8"/>
                <w:szCs w:val="28"/>
              </w:rPr>
            </w:pPr>
          </w:p>
        </w:tc>
        <w:tc>
          <w:tcPr>
            <w:tcW w:w="253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8"/>
                <w:szCs w:val="28"/>
              </w:rPr>
            </w:pPr>
          </w:p>
        </w:tc>
      </w:tr>
      <w:tr>
        <w:tblPrEx>
          <w:tblLayout w:type="fixed"/>
          <w:tblCellMar>
            <w:top w:w="15" w:type="dxa"/>
            <w:left w:w="108" w:type="dxa"/>
            <w:bottom w:w="15" w:type="dxa"/>
            <w:right w:w="108" w:type="dxa"/>
          </w:tblCellMar>
        </w:tblPrEx>
        <w:trPr>
          <w:trHeight w:val="3666" w:hRule="atLeast"/>
        </w:trPr>
        <w:tc>
          <w:tcPr>
            <w:tcW w:w="158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4"/>
              </w:rPr>
            </w:pPr>
            <w:r>
              <w:rPr>
                <w:rFonts w:hint="eastAsia" w:ascii="宋体" w:hAnsi="宋体" w:cs="宋体"/>
                <w:b/>
                <w:bCs/>
                <w:color w:val="000000"/>
                <w:kern w:val="0"/>
                <w:sz w:val="24"/>
              </w:rPr>
              <w:t>6.4</w:t>
            </w:r>
          </w:p>
        </w:tc>
        <w:tc>
          <w:tcPr>
            <w:tcW w:w="241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销售有机食品、绿色食品、供港食用农产品基地直供等食用农产品应当公开承诺符合认证时的质量安全标准要求。</w:t>
            </w:r>
          </w:p>
        </w:tc>
        <w:tc>
          <w:tcPr>
            <w:tcW w:w="32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6.4.1获得绿色食品、有机食品、GAP认证和供港基地直供等特色食用农产品具备相关证明材料（+2分）</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●有一个认证肉菜符合要求，加1分；直至2分加满</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查看每个认证产品的证书，证书覆盖范围，并现场核实是否超范围销售</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8"/>
                <w:szCs w:val="28"/>
              </w:rPr>
            </w:pPr>
          </w:p>
        </w:tc>
        <w:tc>
          <w:tcPr>
            <w:tcW w:w="25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食品安全监督检查标准规程(流通)A4031</w:t>
            </w: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8"/>
                <w:szCs w:val="28"/>
              </w:rPr>
            </w:pPr>
          </w:p>
        </w:tc>
      </w:tr>
      <w:tr>
        <w:tblPrEx>
          <w:tblLayout w:type="fixed"/>
          <w:tblCellMar>
            <w:top w:w="15" w:type="dxa"/>
            <w:left w:w="108" w:type="dxa"/>
            <w:bottom w:w="15" w:type="dxa"/>
            <w:right w:w="108" w:type="dxa"/>
          </w:tblCellMar>
        </w:tblPrEx>
        <w:trPr>
          <w:trHeight w:val="4713" w:hRule="atLeast"/>
        </w:trPr>
        <w:tc>
          <w:tcPr>
            <w:tcW w:w="158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4"/>
              </w:rPr>
            </w:pPr>
          </w:p>
        </w:tc>
        <w:tc>
          <w:tcPr>
            <w:tcW w:w="241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32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6.4.2获得有机食品食品、绿色食品、GAP认证和供港基地直供等特色食用农产品有公开承诺书，且涵盖取得相关认证符合对应的质量安全标准（+1分）</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●承诺书张贴位置符合要求，加0.5分</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●承诺书内容能涵盖取得相关认证符合对应的质量安全标准，加0.5分</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现场查看承诺书内容及张贴于醒目位置</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8"/>
                <w:szCs w:val="28"/>
              </w:rPr>
            </w:pPr>
          </w:p>
        </w:tc>
        <w:tc>
          <w:tcPr>
            <w:tcW w:w="253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沪食安办（2017）47号文（二）/ 6</w:t>
            </w: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8"/>
                <w:szCs w:val="28"/>
              </w:rPr>
            </w:pPr>
          </w:p>
        </w:tc>
      </w:tr>
      <w:tr>
        <w:tblPrEx>
          <w:tblLayout w:type="fixed"/>
          <w:tblCellMar>
            <w:top w:w="15" w:type="dxa"/>
            <w:left w:w="108" w:type="dxa"/>
            <w:bottom w:w="15" w:type="dxa"/>
            <w:right w:w="108" w:type="dxa"/>
          </w:tblCellMar>
        </w:tblPrEx>
        <w:trPr>
          <w:trHeight w:val="2861" w:hRule="atLeast"/>
        </w:trPr>
        <w:tc>
          <w:tcPr>
            <w:tcW w:w="158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4"/>
              </w:rPr>
            </w:pPr>
          </w:p>
        </w:tc>
        <w:tc>
          <w:tcPr>
            <w:tcW w:w="241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32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6.4.3有充分的证据材料证明特色食用农产品符合相关食品安全标准的要求（+2分）</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●抽查2个认证肉菜，能提供在有效期内的认证证书，加2分；只有一个符合要求，加1分</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查看是否有证书，颁证公司是否有资质，证书是否有效</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8"/>
                <w:szCs w:val="28"/>
              </w:rPr>
            </w:pPr>
          </w:p>
        </w:tc>
        <w:tc>
          <w:tcPr>
            <w:tcW w:w="253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8"/>
                <w:szCs w:val="28"/>
              </w:rPr>
            </w:pPr>
          </w:p>
        </w:tc>
      </w:tr>
      <w:tr>
        <w:tblPrEx>
          <w:tblLayout w:type="fixed"/>
          <w:tblCellMar>
            <w:top w:w="15" w:type="dxa"/>
            <w:left w:w="108" w:type="dxa"/>
            <w:bottom w:w="15" w:type="dxa"/>
            <w:right w:w="108" w:type="dxa"/>
          </w:tblCellMar>
        </w:tblPrEx>
        <w:trPr>
          <w:trHeight w:val="398" w:hRule="atLeast"/>
        </w:trPr>
        <w:tc>
          <w:tcPr>
            <w:tcW w:w="14611"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4"/>
              </w:rPr>
            </w:pPr>
            <w:r>
              <w:rPr>
                <w:rFonts w:ascii="宋体" w:hAnsi="宋体" w:cs="宋体"/>
                <w:b/>
                <w:bCs/>
                <w:color w:val="000000"/>
                <w:kern w:val="0"/>
                <w:sz w:val="24"/>
              </w:rPr>
              <w:t>7、风险管理严格（28分）</w:t>
            </w:r>
          </w:p>
        </w:tc>
      </w:tr>
      <w:tr>
        <w:tblPrEx>
          <w:tblLayout w:type="fixed"/>
          <w:tblCellMar>
            <w:top w:w="15" w:type="dxa"/>
            <w:left w:w="108" w:type="dxa"/>
            <w:bottom w:w="15" w:type="dxa"/>
            <w:right w:w="108" w:type="dxa"/>
          </w:tblCellMar>
        </w:tblPrEx>
        <w:trPr>
          <w:trHeight w:val="3954" w:hRule="atLeast"/>
        </w:trPr>
        <w:tc>
          <w:tcPr>
            <w:tcW w:w="158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4"/>
              </w:rPr>
            </w:pPr>
            <w:r>
              <w:rPr>
                <w:rFonts w:hint="eastAsia" w:ascii="宋体" w:hAnsi="宋体" w:cs="宋体"/>
                <w:b/>
                <w:bCs/>
                <w:color w:val="000000"/>
                <w:kern w:val="0"/>
                <w:sz w:val="24"/>
              </w:rPr>
              <w:t>7.1</w:t>
            </w:r>
          </w:p>
        </w:tc>
        <w:tc>
          <w:tcPr>
            <w:tcW w:w="241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建立健全食用农产品质量安全自查工作机制，对肉菜等食用农产品种养殖、采摘、屠宰、包装、贮存、运输、销售等各个环节进行风险分析，积极防控风险。</w:t>
            </w:r>
          </w:p>
        </w:tc>
        <w:tc>
          <w:tcPr>
            <w:tcW w:w="32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7.1.1建立肉菜安全自查制度：包括自查内容，自查流程，覆盖范围，频率，自查人员，评估报告，采取措施，后续改进等内容。（内容齐全可执行+2分，缺失1~2项+1分）</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●有安全自查制度，加1分</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●内容不缺失的，加1分</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查看自查制度是否齐全，并随机询问相关人员自查内容</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8"/>
                <w:szCs w:val="28"/>
              </w:rPr>
            </w:pPr>
          </w:p>
        </w:tc>
        <w:tc>
          <w:tcPr>
            <w:tcW w:w="253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《食用农产品市场销售质量安全监督管理办法》国食药监第20号令 第三十一条 及 沪食安办（2017）47号文（二）/ 7</w:t>
            </w: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8"/>
                <w:szCs w:val="28"/>
              </w:rPr>
            </w:pPr>
          </w:p>
        </w:tc>
      </w:tr>
      <w:tr>
        <w:tblPrEx>
          <w:tblLayout w:type="fixed"/>
          <w:tblCellMar>
            <w:top w:w="15" w:type="dxa"/>
            <w:left w:w="108" w:type="dxa"/>
            <w:bottom w:w="15" w:type="dxa"/>
            <w:right w:w="108" w:type="dxa"/>
          </w:tblCellMar>
        </w:tblPrEx>
        <w:trPr>
          <w:trHeight w:val="3185" w:hRule="atLeast"/>
        </w:trPr>
        <w:tc>
          <w:tcPr>
            <w:tcW w:w="158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4"/>
              </w:rPr>
            </w:pPr>
          </w:p>
        </w:tc>
        <w:tc>
          <w:tcPr>
            <w:tcW w:w="241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32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7.1.2自查应有效。当有发生安全事故潜在风险时，有停止销售机制，并保留向所在地食药监报告的记录，后续的召回和/或赔偿计划及执行情况及记录（+2分）</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●有历史记录，且历史记录证明处理方式符合要求，加2分</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●如无历史记录，自查组成员对于处理流程的描述与制度一致，加2分</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●如描述有少部分缺失的，加1分；缺失严重，不加分</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查看历史记录；随机选取一位自查组成员，请其复述处置流程是否与制度描述一致</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8"/>
                <w:szCs w:val="28"/>
              </w:rPr>
            </w:pPr>
          </w:p>
        </w:tc>
        <w:tc>
          <w:tcPr>
            <w:tcW w:w="253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8"/>
                <w:szCs w:val="28"/>
              </w:rPr>
            </w:pPr>
          </w:p>
        </w:tc>
      </w:tr>
      <w:tr>
        <w:tblPrEx>
          <w:tblLayout w:type="fixed"/>
          <w:tblCellMar>
            <w:top w:w="15" w:type="dxa"/>
            <w:left w:w="108" w:type="dxa"/>
            <w:bottom w:w="15" w:type="dxa"/>
            <w:right w:w="108" w:type="dxa"/>
          </w:tblCellMar>
        </w:tblPrEx>
        <w:trPr>
          <w:trHeight w:val="1532" w:hRule="atLeast"/>
        </w:trPr>
        <w:tc>
          <w:tcPr>
            <w:tcW w:w="158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4"/>
              </w:rPr>
            </w:pPr>
          </w:p>
        </w:tc>
        <w:tc>
          <w:tcPr>
            <w:tcW w:w="241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32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7.1.3检查企业自查的年度汇总和评审，下一年度的持续改进方案（+1分）</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●有年度评审和整改措施的，加1分；缺失一项内容，加0.5分</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抽查历史评审表、纠偏报告及改进计划；是否与实际一致</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8"/>
                <w:szCs w:val="28"/>
              </w:rPr>
            </w:pPr>
          </w:p>
        </w:tc>
        <w:tc>
          <w:tcPr>
            <w:tcW w:w="253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8"/>
                <w:szCs w:val="28"/>
              </w:rPr>
            </w:pPr>
          </w:p>
        </w:tc>
      </w:tr>
      <w:tr>
        <w:tblPrEx>
          <w:tblLayout w:type="fixed"/>
          <w:tblCellMar>
            <w:top w:w="15" w:type="dxa"/>
            <w:left w:w="108" w:type="dxa"/>
            <w:bottom w:w="15" w:type="dxa"/>
            <w:right w:w="108" w:type="dxa"/>
          </w:tblCellMar>
        </w:tblPrEx>
        <w:trPr>
          <w:trHeight w:val="1731" w:hRule="atLeast"/>
        </w:trPr>
        <w:tc>
          <w:tcPr>
            <w:tcW w:w="158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4"/>
              </w:rPr>
            </w:pPr>
          </w:p>
        </w:tc>
        <w:tc>
          <w:tcPr>
            <w:tcW w:w="241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32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7.1.4如有委托第三方专业机构策划实施肉菜质量安全自查制度，需保留其报告及执行情况（与7.1.1重合部分，不加分）</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●全符合加2分；</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●报告及执行情况缺一，加1分</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查看第三方报告、执行记录</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8"/>
                <w:szCs w:val="28"/>
              </w:rPr>
            </w:pPr>
          </w:p>
        </w:tc>
        <w:tc>
          <w:tcPr>
            <w:tcW w:w="253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8"/>
                <w:szCs w:val="28"/>
              </w:rPr>
            </w:pPr>
          </w:p>
        </w:tc>
      </w:tr>
      <w:tr>
        <w:tblPrEx>
          <w:tblLayout w:type="fixed"/>
          <w:tblCellMar>
            <w:top w:w="15" w:type="dxa"/>
            <w:left w:w="108" w:type="dxa"/>
            <w:bottom w:w="15" w:type="dxa"/>
            <w:right w:w="108" w:type="dxa"/>
          </w:tblCellMar>
        </w:tblPrEx>
        <w:trPr>
          <w:trHeight w:val="1807" w:hRule="atLeast"/>
        </w:trPr>
        <w:tc>
          <w:tcPr>
            <w:tcW w:w="158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4"/>
              </w:rPr>
            </w:pPr>
            <w:r>
              <w:rPr>
                <w:rFonts w:hint="eastAsia" w:ascii="宋体" w:hAnsi="宋体" w:cs="宋体"/>
                <w:b/>
                <w:bCs/>
                <w:color w:val="000000"/>
                <w:kern w:val="0"/>
                <w:sz w:val="24"/>
              </w:rPr>
              <w:t>7.2</w:t>
            </w:r>
          </w:p>
        </w:tc>
        <w:tc>
          <w:tcPr>
            <w:tcW w:w="241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当自行或者委托有资质的食品检验机构对购进的肉菜等食用农产品进行检测，检测按照食品安全国家标准进行，没有国家食品安全标准的，鼓励采用国际食品法典委员会等国际组织或者发达国家和地区的食品安全标准进行检测。</w:t>
            </w:r>
          </w:p>
        </w:tc>
        <w:tc>
          <w:tcPr>
            <w:tcW w:w="32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ascii="宋体" w:hAnsi="宋体" w:cs="宋体"/>
                <w:color w:val="000000"/>
                <w:kern w:val="0"/>
                <w:sz w:val="22"/>
                <w:szCs w:val="22"/>
              </w:rPr>
              <w:t>7.2.1有肉菜检验机构，检验设备（合格证，校准日期，设备清单）检验人员名单和培训证书。（+2分）</w:t>
            </w:r>
            <w:r>
              <w:rPr>
                <w:rFonts w:hint="eastAsia" w:ascii="宋体" w:hAnsi="宋体" w:cs="宋体"/>
                <w:color w:val="000000"/>
                <w:kern w:val="0"/>
                <w:sz w:val="22"/>
                <w:szCs w:val="22"/>
              </w:rPr>
              <w:br w:type="textWrapping"/>
            </w:r>
            <w:r>
              <w:rPr>
                <w:rFonts w:ascii="宋体" w:hAnsi="宋体" w:cs="宋体"/>
                <w:color w:val="000000"/>
                <w:kern w:val="0"/>
                <w:sz w:val="22"/>
                <w:szCs w:val="22"/>
              </w:rPr>
              <w:t>●有检验设备及相关记录，加1分</w:t>
            </w:r>
            <w:r>
              <w:rPr>
                <w:rFonts w:hint="eastAsia" w:ascii="宋体" w:hAnsi="宋体" w:cs="宋体"/>
                <w:color w:val="000000"/>
                <w:kern w:val="0"/>
                <w:sz w:val="22"/>
                <w:szCs w:val="22"/>
              </w:rPr>
              <w:br w:type="textWrapping"/>
            </w:r>
            <w:r>
              <w:rPr>
                <w:rFonts w:ascii="宋体" w:hAnsi="宋体" w:cs="宋体"/>
                <w:color w:val="000000"/>
                <w:kern w:val="0"/>
                <w:sz w:val="22"/>
                <w:szCs w:val="22"/>
              </w:rPr>
              <w:t>●有检验人员及培训，加1分</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查看检验室、检验设备、询问检验人员核实是否有资质从事该项检测及相关记录</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8"/>
                <w:szCs w:val="28"/>
              </w:rPr>
            </w:pPr>
          </w:p>
        </w:tc>
        <w:tc>
          <w:tcPr>
            <w:tcW w:w="25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《食用农产品市场销售质量安全监督管理办法》国食药监第20号令 第三十条 </w:t>
            </w: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8"/>
                <w:szCs w:val="28"/>
              </w:rPr>
            </w:pPr>
          </w:p>
        </w:tc>
      </w:tr>
      <w:tr>
        <w:tblPrEx>
          <w:tblLayout w:type="fixed"/>
          <w:tblCellMar>
            <w:top w:w="15" w:type="dxa"/>
            <w:left w:w="108" w:type="dxa"/>
            <w:bottom w:w="15" w:type="dxa"/>
            <w:right w:w="108" w:type="dxa"/>
          </w:tblCellMar>
        </w:tblPrEx>
        <w:trPr>
          <w:trHeight w:val="1792" w:hRule="atLeast"/>
        </w:trPr>
        <w:tc>
          <w:tcPr>
            <w:tcW w:w="158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4"/>
              </w:rPr>
            </w:pPr>
          </w:p>
        </w:tc>
        <w:tc>
          <w:tcPr>
            <w:tcW w:w="241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32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7.2.2 仅做水分，pH等简单理化的，不加分；</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●有微生物检测能力，且有检测记录（+1分）；</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●有农兽残检测能力，且有检测记录（+1分）；</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●有重金属等污染物检测能力，且有检测记录（+1分）</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查看现场、抽查3份检测记录</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8"/>
                <w:szCs w:val="28"/>
              </w:rPr>
            </w:pPr>
          </w:p>
        </w:tc>
        <w:tc>
          <w:tcPr>
            <w:tcW w:w="253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沪食安办（2017）47号文（二）/ 7</w:t>
            </w: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8"/>
                <w:szCs w:val="28"/>
              </w:rPr>
            </w:pPr>
          </w:p>
        </w:tc>
      </w:tr>
      <w:tr>
        <w:tblPrEx>
          <w:tblLayout w:type="fixed"/>
          <w:tblCellMar>
            <w:top w:w="15" w:type="dxa"/>
            <w:left w:w="108" w:type="dxa"/>
            <w:bottom w:w="15" w:type="dxa"/>
            <w:right w:w="108" w:type="dxa"/>
          </w:tblCellMar>
        </w:tblPrEx>
        <w:trPr>
          <w:trHeight w:val="827" w:hRule="atLeast"/>
        </w:trPr>
        <w:tc>
          <w:tcPr>
            <w:tcW w:w="158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4"/>
              </w:rPr>
            </w:pPr>
          </w:p>
        </w:tc>
        <w:tc>
          <w:tcPr>
            <w:tcW w:w="241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32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7.2.3委托第三方检测机构，获得检测报告。（与7.2.2重合的项目，不重复加分）</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查看检测报告</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8"/>
                <w:szCs w:val="28"/>
              </w:rPr>
            </w:pPr>
          </w:p>
        </w:tc>
        <w:tc>
          <w:tcPr>
            <w:tcW w:w="253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8"/>
                <w:szCs w:val="28"/>
              </w:rPr>
            </w:pPr>
          </w:p>
        </w:tc>
      </w:tr>
      <w:tr>
        <w:tblPrEx>
          <w:tblLayout w:type="fixed"/>
          <w:tblCellMar>
            <w:top w:w="15" w:type="dxa"/>
            <w:left w:w="108" w:type="dxa"/>
            <w:bottom w:w="15" w:type="dxa"/>
            <w:right w:w="108" w:type="dxa"/>
          </w:tblCellMar>
        </w:tblPrEx>
        <w:trPr>
          <w:trHeight w:val="1777" w:hRule="atLeast"/>
        </w:trPr>
        <w:tc>
          <w:tcPr>
            <w:tcW w:w="158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4"/>
              </w:rPr>
            </w:pPr>
            <w:r>
              <w:rPr>
                <w:rFonts w:hint="eastAsia" w:ascii="宋体" w:hAnsi="宋体" w:cs="宋体"/>
                <w:b/>
                <w:bCs/>
                <w:color w:val="000000"/>
                <w:kern w:val="0"/>
                <w:sz w:val="24"/>
              </w:rPr>
              <w:t>7.3</w:t>
            </w:r>
          </w:p>
        </w:tc>
        <w:tc>
          <w:tcPr>
            <w:tcW w:w="241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对示范超市作出的严于食品安全国家标准的承诺，按照承诺标准对相关食用农产品进行检测，检测结果要进行公示。</w:t>
            </w:r>
          </w:p>
        </w:tc>
        <w:tc>
          <w:tcPr>
            <w:tcW w:w="32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7.3.1自行进行严于国家标准的检测，公示检验结果（+2分）</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●有检测记录，加1分</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●公示结果的，加1分</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查看检测项目、检测报告；是否公示于醒目位置</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8"/>
                <w:szCs w:val="28"/>
              </w:rPr>
            </w:pPr>
          </w:p>
        </w:tc>
        <w:tc>
          <w:tcPr>
            <w:tcW w:w="253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8"/>
                <w:szCs w:val="28"/>
              </w:rPr>
            </w:pPr>
          </w:p>
        </w:tc>
      </w:tr>
      <w:tr>
        <w:tblPrEx>
          <w:tblLayout w:type="fixed"/>
          <w:tblCellMar>
            <w:top w:w="15" w:type="dxa"/>
            <w:left w:w="108" w:type="dxa"/>
            <w:bottom w:w="15" w:type="dxa"/>
            <w:right w:w="108" w:type="dxa"/>
          </w:tblCellMar>
        </w:tblPrEx>
        <w:trPr>
          <w:trHeight w:val="2052" w:hRule="atLeast"/>
        </w:trPr>
        <w:tc>
          <w:tcPr>
            <w:tcW w:w="158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4"/>
              </w:rPr>
            </w:pPr>
          </w:p>
        </w:tc>
        <w:tc>
          <w:tcPr>
            <w:tcW w:w="241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32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7.3.2 完全自行检测高于国家标准的项目，需与国家检验机构或第三方专业检测公司进行检测能力和/或检测项目的比对（+2分）</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●能提交比对结果，且比对结果证明改检测室有资质的，加2分</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查看比对报告，核实是否有资质从事该项检测</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8"/>
                <w:szCs w:val="28"/>
              </w:rPr>
            </w:pPr>
          </w:p>
        </w:tc>
        <w:tc>
          <w:tcPr>
            <w:tcW w:w="253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8"/>
                <w:szCs w:val="28"/>
              </w:rPr>
            </w:pPr>
          </w:p>
        </w:tc>
      </w:tr>
      <w:tr>
        <w:tblPrEx>
          <w:tblLayout w:type="fixed"/>
          <w:tblCellMar>
            <w:top w:w="15" w:type="dxa"/>
            <w:left w:w="108" w:type="dxa"/>
            <w:bottom w:w="15" w:type="dxa"/>
            <w:right w:w="108" w:type="dxa"/>
          </w:tblCellMar>
        </w:tblPrEx>
        <w:trPr>
          <w:trHeight w:val="2389" w:hRule="atLeast"/>
        </w:trPr>
        <w:tc>
          <w:tcPr>
            <w:tcW w:w="158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4"/>
              </w:rPr>
            </w:pPr>
            <w:r>
              <w:rPr>
                <w:rFonts w:hint="eastAsia" w:ascii="宋体" w:hAnsi="宋体" w:cs="宋体"/>
                <w:b/>
                <w:bCs/>
                <w:color w:val="000000"/>
                <w:kern w:val="0"/>
                <w:sz w:val="24"/>
              </w:rPr>
              <w:t>7.4</w:t>
            </w:r>
          </w:p>
        </w:tc>
        <w:tc>
          <w:tcPr>
            <w:tcW w:w="241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对不符合质量安全标准的肉菜等食用农产品要停止销售并予以销毁。</w:t>
            </w:r>
          </w:p>
        </w:tc>
        <w:tc>
          <w:tcPr>
            <w:tcW w:w="32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7.4.1对提供不符合质量安全标准的肉菜是否按照规定停止销售，通报，召回，并采取无害化处理、销毁等措施，查看记录。（+2分）</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●有整套记录及销毁录像的，加2分</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●记录有部分缺失（比如相关人员签字等），或无法提供录像的，加1分</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●缺失严重的，不加分</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查看记录；询问相关管理员进行核实</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8"/>
                <w:szCs w:val="28"/>
              </w:rPr>
            </w:pPr>
          </w:p>
        </w:tc>
        <w:tc>
          <w:tcPr>
            <w:tcW w:w="25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《食用农产品市场销售质量安全监督管理办法》国食药监第20号令 第三十六条 </w:t>
            </w: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8"/>
                <w:szCs w:val="28"/>
              </w:rPr>
            </w:pPr>
          </w:p>
        </w:tc>
      </w:tr>
      <w:tr>
        <w:tblPrEx>
          <w:tblLayout w:type="fixed"/>
          <w:tblCellMar>
            <w:top w:w="15" w:type="dxa"/>
            <w:left w:w="108" w:type="dxa"/>
            <w:bottom w:w="15" w:type="dxa"/>
            <w:right w:w="108" w:type="dxa"/>
          </w:tblCellMar>
        </w:tblPrEx>
        <w:trPr>
          <w:trHeight w:val="2343" w:hRule="atLeast"/>
        </w:trPr>
        <w:tc>
          <w:tcPr>
            <w:tcW w:w="158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4"/>
              </w:rPr>
            </w:pPr>
          </w:p>
        </w:tc>
        <w:tc>
          <w:tcPr>
            <w:tcW w:w="241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32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7.4.2对提供不符合质量安全标准肉菜的供应商，种养殖基地，屠宰厂的处理记录：加大抽检或从合格供方名单中移除等系列措施。（+2分）</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●有处理报告，加1分</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●如是加大抽检，能提交检测报告的，加1分；如是从合格供方名单中移去的，能提交更新后的合格供方名录，加1分</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查看处理报告；现场进行核实是否继续采购</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8"/>
                <w:szCs w:val="28"/>
              </w:rPr>
            </w:pPr>
          </w:p>
        </w:tc>
        <w:tc>
          <w:tcPr>
            <w:tcW w:w="253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沪食安办（2017）47号文（二）/ 7</w:t>
            </w: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8"/>
                <w:szCs w:val="28"/>
              </w:rPr>
            </w:pPr>
          </w:p>
        </w:tc>
      </w:tr>
      <w:tr>
        <w:tblPrEx>
          <w:tblLayout w:type="fixed"/>
          <w:tblCellMar>
            <w:top w:w="15" w:type="dxa"/>
            <w:left w:w="108" w:type="dxa"/>
            <w:bottom w:w="15" w:type="dxa"/>
            <w:right w:w="108" w:type="dxa"/>
          </w:tblCellMar>
        </w:tblPrEx>
        <w:trPr>
          <w:trHeight w:val="2266" w:hRule="atLeast"/>
        </w:trPr>
        <w:tc>
          <w:tcPr>
            <w:tcW w:w="158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4"/>
              </w:rPr>
            </w:pPr>
            <w:r>
              <w:rPr>
                <w:rFonts w:hint="eastAsia" w:ascii="宋体" w:hAnsi="宋体" w:cs="宋体"/>
                <w:b/>
                <w:bCs/>
                <w:color w:val="000000"/>
                <w:kern w:val="0"/>
                <w:sz w:val="24"/>
              </w:rPr>
              <w:t>7.5</w:t>
            </w:r>
          </w:p>
        </w:tc>
        <w:tc>
          <w:tcPr>
            <w:tcW w:w="241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认真受理和处置消费者投诉，梳理分析消费者反映的质量安全问题，完善质量安全管理体系。</w:t>
            </w:r>
          </w:p>
        </w:tc>
        <w:tc>
          <w:tcPr>
            <w:tcW w:w="32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7.5.1建立消费者投诉处理机制，有专人接受，分析，处理投诉，整改，召回和/或赔偿措施，严重时还应向所在地食药监进行通报；形成文件并记录齐全（+2分）</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●有消费者投诉处理程序的，加1分</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●能形成记录和定期汇总表的，加1分</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查看制度、委任书、投诉汇总表，并选取1份投诉，请企业提交全套记录进行核实</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8"/>
                <w:szCs w:val="28"/>
              </w:rPr>
            </w:pPr>
          </w:p>
        </w:tc>
        <w:tc>
          <w:tcPr>
            <w:tcW w:w="253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8"/>
                <w:szCs w:val="28"/>
              </w:rPr>
            </w:pPr>
          </w:p>
        </w:tc>
      </w:tr>
      <w:tr>
        <w:tblPrEx>
          <w:tblLayout w:type="fixed"/>
          <w:tblCellMar>
            <w:top w:w="15" w:type="dxa"/>
            <w:left w:w="108" w:type="dxa"/>
            <w:bottom w:w="15" w:type="dxa"/>
            <w:right w:w="108" w:type="dxa"/>
          </w:tblCellMar>
        </w:tblPrEx>
        <w:trPr>
          <w:trHeight w:val="2343" w:hRule="atLeast"/>
        </w:trPr>
        <w:tc>
          <w:tcPr>
            <w:tcW w:w="158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4"/>
              </w:rPr>
            </w:pPr>
          </w:p>
        </w:tc>
        <w:tc>
          <w:tcPr>
            <w:tcW w:w="241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32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7.5.2对消费者投诉进行定期评估，分析并形成后续的整改预防报告。查看记录是否齐全（+2分）</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●有定期分析，评估报告，整改措施报告的，加1分</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●现场随机调查消费者20名，满意率达到80%以上的，加2分</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查看评估表，选取一份查看全套资料</w:t>
            </w:r>
          </w:p>
        </w:tc>
        <w:tc>
          <w:tcPr>
            <w:tcW w:w="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8"/>
                <w:szCs w:val="28"/>
              </w:rPr>
            </w:pPr>
          </w:p>
        </w:tc>
        <w:tc>
          <w:tcPr>
            <w:tcW w:w="253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8"/>
                <w:szCs w:val="28"/>
              </w:rPr>
            </w:pPr>
          </w:p>
        </w:tc>
      </w:tr>
      <w:tr>
        <w:tblPrEx>
          <w:tblLayout w:type="fixed"/>
          <w:tblCellMar>
            <w:top w:w="15" w:type="dxa"/>
            <w:left w:w="108" w:type="dxa"/>
            <w:bottom w:w="15" w:type="dxa"/>
            <w:right w:w="108" w:type="dxa"/>
          </w:tblCellMar>
        </w:tblPrEx>
        <w:trPr>
          <w:trHeight w:val="398" w:hRule="atLeast"/>
        </w:trPr>
        <w:tc>
          <w:tcPr>
            <w:tcW w:w="14611"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4"/>
              </w:rPr>
            </w:pPr>
            <w:r>
              <w:rPr>
                <w:rFonts w:hint="eastAsia" w:ascii="宋体" w:hAnsi="宋体" w:cs="宋体"/>
                <w:b/>
                <w:bCs/>
                <w:color w:val="000000"/>
                <w:kern w:val="0"/>
                <w:sz w:val="24"/>
              </w:rPr>
              <w:t>8、信息公示全面（9分）</w:t>
            </w:r>
          </w:p>
        </w:tc>
      </w:tr>
      <w:tr>
        <w:tblPrEx>
          <w:tblLayout w:type="fixed"/>
          <w:tblCellMar>
            <w:top w:w="15" w:type="dxa"/>
            <w:left w:w="108" w:type="dxa"/>
            <w:bottom w:w="15" w:type="dxa"/>
            <w:right w:w="108" w:type="dxa"/>
          </w:tblCellMar>
        </w:tblPrEx>
        <w:trPr>
          <w:trHeight w:val="1929" w:hRule="atLeast"/>
        </w:trPr>
        <w:tc>
          <w:tcPr>
            <w:tcW w:w="158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4"/>
              </w:rPr>
            </w:pPr>
            <w:r>
              <w:rPr>
                <w:rFonts w:hint="eastAsia" w:ascii="宋体" w:hAnsi="宋体" w:cs="宋体"/>
                <w:b/>
                <w:bCs/>
                <w:color w:val="000000"/>
                <w:kern w:val="0"/>
                <w:sz w:val="24"/>
              </w:rPr>
              <w:t>8.1</w:t>
            </w:r>
          </w:p>
        </w:tc>
        <w:tc>
          <w:tcPr>
            <w:tcW w:w="241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在门店的显著位置和门户网站首页公开创建“放心肉菜示范超市”活动的标准和承诺，设置意见箱或意见栏。</w:t>
            </w:r>
          </w:p>
        </w:tc>
        <w:tc>
          <w:tcPr>
            <w:tcW w:w="32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8.1.1在门店的显著位置，张贴“放心肉菜示范超市”活动的标准和承诺。是否有设置意见箱和意见栏，并有专人收集和维护（+1分）</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●有意见箱/意见栏，加0.5分</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●信息汇总表，加0.5分</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现场查看、抽查记录</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8"/>
                <w:szCs w:val="28"/>
              </w:rPr>
            </w:pPr>
          </w:p>
        </w:tc>
        <w:tc>
          <w:tcPr>
            <w:tcW w:w="253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沪食安办（2017）47号文（二）/ 8</w:t>
            </w: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8"/>
                <w:szCs w:val="28"/>
              </w:rPr>
            </w:pPr>
          </w:p>
        </w:tc>
      </w:tr>
      <w:tr>
        <w:tblPrEx>
          <w:tblLayout w:type="fixed"/>
          <w:tblCellMar>
            <w:top w:w="15" w:type="dxa"/>
            <w:left w:w="108" w:type="dxa"/>
            <w:bottom w:w="15" w:type="dxa"/>
            <w:right w:w="108" w:type="dxa"/>
          </w:tblCellMar>
        </w:tblPrEx>
        <w:trPr>
          <w:trHeight w:val="1838" w:hRule="atLeast"/>
        </w:trPr>
        <w:tc>
          <w:tcPr>
            <w:tcW w:w="158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4"/>
              </w:rPr>
            </w:pPr>
          </w:p>
        </w:tc>
        <w:tc>
          <w:tcPr>
            <w:tcW w:w="241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32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8.1.2通过相关网站或手机APP等互联网技术，在门户网站首页发布“放心肉菜示范超市”活动的标准和承诺；有无意见反馈通道，并有专人维护（+2分）</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●登录APP或网站，有相关信息，加1分</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●有信息汇总表，加1分</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请负责人进行演示</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8"/>
                <w:szCs w:val="28"/>
              </w:rPr>
            </w:pPr>
          </w:p>
        </w:tc>
        <w:tc>
          <w:tcPr>
            <w:tcW w:w="253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8"/>
                <w:szCs w:val="28"/>
              </w:rPr>
            </w:pPr>
          </w:p>
        </w:tc>
      </w:tr>
      <w:tr>
        <w:tblPrEx>
          <w:tblLayout w:type="fixed"/>
          <w:tblCellMar>
            <w:top w:w="15" w:type="dxa"/>
            <w:left w:w="108" w:type="dxa"/>
            <w:bottom w:w="15" w:type="dxa"/>
            <w:right w:w="108" w:type="dxa"/>
          </w:tblCellMar>
        </w:tblPrEx>
        <w:trPr>
          <w:trHeight w:val="4146" w:hRule="atLeast"/>
        </w:trPr>
        <w:tc>
          <w:tcPr>
            <w:tcW w:w="158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4"/>
              </w:rPr>
            </w:pPr>
            <w:r>
              <w:rPr>
                <w:rFonts w:hint="eastAsia" w:ascii="宋体" w:hAnsi="宋体" w:cs="宋体"/>
                <w:b/>
                <w:bCs/>
                <w:color w:val="000000"/>
                <w:kern w:val="0"/>
                <w:sz w:val="24"/>
              </w:rPr>
              <w:t>8.2</w:t>
            </w:r>
          </w:p>
        </w:tc>
        <w:tc>
          <w:tcPr>
            <w:tcW w:w="241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设置公示牌公开肉菜产品供应商、产地，种养殖企业以及种养殖过程质量安全管理记录等方面的信息。</w:t>
            </w:r>
          </w:p>
        </w:tc>
        <w:tc>
          <w:tcPr>
            <w:tcW w:w="32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8.2.1在显著位置，设置显示屏或公示牌，公开肉菜供方名称，产地，种养殖企业及种养殖过程质量安全管理记录、检测报告的信息，且信息正确并及时更新</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●有30%~50%的供应商张贴信息+1分</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●50%~80%的供应商+2分</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●100%的+3分</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现场查看核实</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8"/>
                <w:szCs w:val="28"/>
              </w:rPr>
            </w:pPr>
          </w:p>
        </w:tc>
        <w:tc>
          <w:tcPr>
            <w:tcW w:w="253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8"/>
                <w:szCs w:val="28"/>
              </w:rPr>
            </w:pPr>
          </w:p>
        </w:tc>
      </w:tr>
      <w:tr>
        <w:tblPrEx>
          <w:tblLayout w:type="fixed"/>
          <w:tblCellMar>
            <w:top w:w="15" w:type="dxa"/>
            <w:left w:w="108" w:type="dxa"/>
            <w:bottom w:w="15" w:type="dxa"/>
            <w:right w:w="108" w:type="dxa"/>
          </w:tblCellMar>
        </w:tblPrEx>
        <w:trPr>
          <w:trHeight w:val="3436" w:hRule="atLeast"/>
        </w:trPr>
        <w:tc>
          <w:tcPr>
            <w:tcW w:w="158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4"/>
              </w:rPr>
            </w:pPr>
          </w:p>
        </w:tc>
        <w:tc>
          <w:tcPr>
            <w:tcW w:w="241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32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8.2.2通过网站或手机APP等互联网技术，公布并及时更新上述内容</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●30%~50%的供应商公布信息+1分</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●50%~80%的供应商+2分</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●100%的+3分</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请负责人进行演示</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8"/>
                <w:szCs w:val="28"/>
              </w:rPr>
            </w:pPr>
          </w:p>
        </w:tc>
        <w:tc>
          <w:tcPr>
            <w:tcW w:w="253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8"/>
                <w:szCs w:val="28"/>
              </w:rPr>
            </w:pPr>
          </w:p>
        </w:tc>
      </w:tr>
    </w:tbl>
    <w:p>
      <w:pPr>
        <w:adjustRightInd w:val="0"/>
        <w:snapToGrid w:val="0"/>
        <w:spacing w:line="360" w:lineRule="auto"/>
        <w:jc w:val="left"/>
        <w:rPr>
          <w:rFonts w:ascii="仿宋_GB2312" w:eastAsia="仿宋_GB2312"/>
          <w:szCs w:val="32"/>
        </w:rPr>
      </w:pPr>
    </w:p>
    <w:tbl>
      <w:tblPr>
        <w:tblStyle w:val="3"/>
        <w:tblW w:w="14611" w:type="dxa"/>
        <w:tblInd w:w="-34" w:type="dxa"/>
        <w:tblLayout w:type="fixed"/>
        <w:tblCellMar>
          <w:top w:w="15" w:type="dxa"/>
          <w:left w:w="108" w:type="dxa"/>
          <w:bottom w:w="15" w:type="dxa"/>
          <w:right w:w="108" w:type="dxa"/>
        </w:tblCellMar>
      </w:tblPr>
      <w:tblGrid>
        <w:gridCol w:w="14611"/>
      </w:tblGrid>
      <w:tr>
        <w:tblPrEx>
          <w:tblLayout w:type="fixed"/>
          <w:tblCellMar>
            <w:top w:w="15" w:type="dxa"/>
            <w:left w:w="108" w:type="dxa"/>
            <w:bottom w:w="15" w:type="dxa"/>
            <w:right w:w="108" w:type="dxa"/>
          </w:tblCellMar>
        </w:tblPrEx>
        <w:trPr>
          <w:trHeight w:val="4222" w:hRule="atLeast"/>
        </w:trPr>
        <w:tc>
          <w:tcPr>
            <w:tcW w:w="14611" w:type="dxa"/>
            <w:tcBorders>
              <w:top w:val="single" w:color="000000" w:sz="4" w:space="0"/>
              <w:left w:val="single" w:color="000000" w:sz="4" w:space="0"/>
              <w:bottom w:val="single" w:color="000000" w:sz="4" w:space="0"/>
              <w:right w:val="single" w:color="000000" w:sz="4" w:space="0"/>
            </w:tcBorders>
          </w:tcPr>
          <w:p>
            <w:pPr>
              <w:widowControl/>
              <w:jc w:val="left"/>
              <w:rPr>
                <w:rFonts w:ascii="宋体" w:hAnsi="宋体" w:cs="宋体"/>
                <w:b/>
                <w:bCs/>
                <w:color w:val="000000"/>
                <w:kern w:val="0"/>
                <w:sz w:val="28"/>
                <w:szCs w:val="28"/>
              </w:rPr>
            </w:pPr>
            <w:r>
              <w:rPr>
                <w:rFonts w:hint="eastAsia" w:ascii="宋体" w:hAnsi="宋体" w:cs="宋体"/>
                <w:b/>
                <w:bCs/>
                <w:color w:val="000000"/>
                <w:kern w:val="0"/>
                <w:sz w:val="28"/>
                <w:szCs w:val="28"/>
              </w:rPr>
              <w:t>总分/结论：</w:t>
            </w:r>
          </w:p>
        </w:tc>
      </w:tr>
      <w:tr>
        <w:tblPrEx>
          <w:tblLayout w:type="fixed"/>
          <w:tblCellMar>
            <w:top w:w="15" w:type="dxa"/>
            <w:left w:w="108" w:type="dxa"/>
            <w:bottom w:w="15" w:type="dxa"/>
            <w:right w:w="108" w:type="dxa"/>
          </w:tblCellMar>
        </w:tblPrEx>
        <w:trPr>
          <w:trHeight w:val="689" w:hRule="atLeast"/>
        </w:trPr>
        <w:tc>
          <w:tcPr>
            <w:tcW w:w="14611" w:type="dxa"/>
            <w:vMerge w:val="restart"/>
            <w:tcBorders>
              <w:top w:val="single" w:color="000000" w:sz="4" w:space="0"/>
              <w:left w:val="single" w:color="000000" w:sz="4" w:space="0"/>
              <w:bottom w:val="single" w:color="000000" w:sz="4" w:space="0"/>
              <w:right w:val="single" w:color="000000" w:sz="4" w:space="0"/>
            </w:tcBorders>
          </w:tcPr>
          <w:p>
            <w:pPr>
              <w:widowControl/>
              <w:jc w:val="left"/>
              <w:rPr>
                <w:rFonts w:ascii="宋体" w:hAnsi="宋体" w:cs="宋体"/>
                <w:b/>
                <w:bCs/>
                <w:color w:val="000000"/>
                <w:kern w:val="0"/>
                <w:sz w:val="28"/>
                <w:szCs w:val="28"/>
              </w:rPr>
            </w:pPr>
            <w:r>
              <w:rPr>
                <w:rFonts w:hint="eastAsia" w:ascii="宋体" w:hAnsi="宋体" w:cs="宋体"/>
                <w:b/>
                <w:bCs/>
                <w:color w:val="000000"/>
                <w:kern w:val="0"/>
                <w:sz w:val="28"/>
                <w:szCs w:val="28"/>
              </w:rPr>
              <w:t>评审组成员（签字）：</w:t>
            </w:r>
          </w:p>
        </w:tc>
      </w:tr>
      <w:tr>
        <w:tblPrEx>
          <w:tblLayout w:type="fixed"/>
          <w:tblCellMar>
            <w:top w:w="15" w:type="dxa"/>
            <w:left w:w="108" w:type="dxa"/>
            <w:bottom w:w="15" w:type="dxa"/>
            <w:right w:w="108" w:type="dxa"/>
          </w:tblCellMar>
        </w:tblPrEx>
        <w:trPr>
          <w:trHeight w:val="1089" w:hRule="atLeast"/>
        </w:trPr>
        <w:tc>
          <w:tcPr>
            <w:tcW w:w="1461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8"/>
                <w:szCs w:val="28"/>
              </w:rPr>
            </w:pPr>
          </w:p>
        </w:tc>
      </w:tr>
    </w:tbl>
    <w:p>
      <w:pPr>
        <w:wordWrap w:val="0"/>
        <w:topLinePunct/>
        <w:spacing w:line="360" w:lineRule="exact"/>
        <w:ind w:right="318"/>
        <w:jc w:val="right"/>
        <w:rPr>
          <w:szCs w:val="32"/>
        </w:rPr>
      </w:pPr>
    </w:p>
    <w:p/>
    <w:sectPr>
      <w:pgSz w:w="16838" w:h="11906" w:orient="landscape"/>
      <w:pgMar w:top="1418" w:right="1418" w:bottom="1418" w:left="1418" w:header="851" w:footer="1134" w:gutter="0"/>
      <w:cols w:space="425" w:num="1"/>
      <w:docGrid w:type="linesAndChar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A19"/>
    <w:rsid w:val="001E64CF"/>
    <w:rsid w:val="00675A89"/>
    <w:rsid w:val="00BB3A19"/>
    <w:rsid w:val="07AF15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customStyle="1" w:styleId="4">
    <w:name w:val="样式1"/>
    <w:basedOn w:val="1"/>
    <w:link w:val="5"/>
    <w:qFormat/>
    <w:uiPriority w:val="0"/>
    <w:pPr>
      <w:jc w:val="left"/>
    </w:pPr>
    <w:rPr>
      <w:rFonts w:asciiTheme="minorEastAsia" w:hAnsiTheme="minorEastAsia" w:eastAsiaTheme="minorEastAsia" w:cstheme="minorBidi"/>
      <w:sz w:val="24"/>
    </w:rPr>
  </w:style>
  <w:style w:type="character" w:customStyle="1" w:styleId="5">
    <w:name w:val="样式1 Char"/>
    <w:basedOn w:val="2"/>
    <w:link w:val="4"/>
    <w:uiPriority w:val="0"/>
    <w:rPr>
      <w:rFonts w:asciiTheme="minorEastAsia" w:hAnsiTheme="minorEastAsia"/>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35</Pages>
  <Words>1777</Words>
  <Characters>10130</Characters>
  <Lines>84</Lines>
  <Paragraphs>23</Paragraphs>
  <TotalTime>0</TotalTime>
  <ScaleCrop>false</ScaleCrop>
  <LinksUpToDate>false</LinksUpToDate>
  <CharactersWithSpaces>11884</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2018-08-14T05:22:00Z</dcterms:created>
  <dc:creator>wuyanna</dc:creator>
  <cp:lastModifiedBy>SiouxsieTRexDMC*JesusMaryChain</cp:lastModifiedBy>
  <dcterms:modified xsi:type="dcterms:W3CDTF">2018-08-15T03:44:20Z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