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360" w:lineRule="auto"/>
        <w:jc w:val="left"/>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食品中</w:t>
      </w:r>
      <w:r>
        <w:rPr>
          <w:rFonts w:hint="default" w:ascii="Times New Roman" w:hAnsi="Times New Roman" w:eastAsia="方正小标宋简体" w:cs="Times New Roman"/>
          <w:sz w:val="44"/>
          <w:szCs w:val="44"/>
        </w:rPr>
        <w:t>5</w:t>
      </w:r>
      <w:r>
        <w:rPr>
          <w:rFonts w:hint="eastAsia" w:ascii="方正小标宋简体" w:hAnsi="方正小标宋简体" w:eastAsia="方正小标宋简体" w:cs="方正小标宋简体"/>
          <w:sz w:val="44"/>
          <w:szCs w:val="44"/>
        </w:rPr>
        <w:t>种</w:t>
      </w:r>
      <w:r>
        <w:rPr>
          <w:rFonts w:hint="default" w:ascii="Times New Roman" w:hAnsi="Times New Roman" w:eastAsia="方正小标宋简体" w:cs="Times New Roman"/>
          <w:color w:val="333333"/>
          <w:sz w:val="44"/>
          <w:szCs w:val="44"/>
          <w:shd w:val="clear" w:color="auto" w:fill="FFFFFF"/>
        </w:rPr>
        <w:t>α</w:t>
      </w:r>
      <w:r>
        <w:rPr>
          <w:rFonts w:hint="eastAsia" w:ascii="方正小标宋简体" w:hAnsi="方正小标宋简体" w:eastAsia="方正小标宋简体" w:cs="方正小标宋简体"/>
          <w:color w:val="333333"/>
          <w:sz w:val="44"/>
          <w:szCs w:val="44"/>
          <w:shd w:val="clear" w:color="auto" w:fill="FFFFFF"/>
        </w:rPr>
        <w:t>-受体阻断类药物</w:t>
      </w:r>
      <w:r>
        <w:rPr>
          <w:rFonts w:hint="eastAsia" w:ascii="方正小标宋简体" w:hAnsi="方正小标宋简体" w:eastAsia="方正小标宋简体" w:cs="方正小标宋简体"/>
          <w:sz w:val="44"/>
          <w:szCs w:val="44"/>
        </w:rPr>
        <w:t>的测定</w:t>
      </w:r>
    </w:p>
    <w:p>
      <w:pPr>
        <w:jc w:val="center"/>
        <w:rPr>
          <w:rFonts w:hint="eastAsia" w:ascii="方正小标宋简体" w:hAnsi="方正小标宋简体" w:eastAsia="方正小标宋简体" w:cs="方正小标宋简体"/>
          <w:sz w:val="32"/>
          <w:szCs w:val="32"/>
        </w:rPr>
      </w:pPr>
      <w:r>
        <w:rPr>
          <w:rFonts w:hint="default" w:ascii="Times New Roman" w:hAnsi="Times New Roman" w:eastAsia="仿宋_GB2312" w:cs="Times New Roman"/>
          <w:color w:val="333333"/>
          <w:sz w:val="32"/>
          <w:szCs w:val="32"/>
          <w:lang w:val="en-US" w:eastAsia="zh-CN"/>
        </w:rPr>
        <w:t>BJS 201808</w:t>
      </w:r>
    </w:p>
    <w:p>
      <w:pPr>
        <w:autoSpaceDE w:val="0"/>
        <w:autoSpaceDN w:val="0"/>
        <w:spacing w:line="360" w:lineRule="auto"/>
        <w:jc w:val="center"/>
        <w:textAlignment w:val="bottom"/>
        <w:rPr>
          <w:rFonts w:ascii="Times New Roman" w:hAnsi="Times New Roman" w:cs="Times New Roman"/>
          <w:bCs/>
          <w:spacing w:val="5"/>
          <w:sz w:val="24"/>
          <w:szCs w:val="24"/>
        </w:rPr>
      </w:pPr>
    </w:p>
    <w:p>
      <w:pPr>
        <w:pStyle w:val="51"/>
        <w:numPr>
          <w:ilvl w:val="0"/>
          <w:numId w:val="3"/>
        </w:numPr>
        <w:tabs>
          <w:tab w:val="clear" w:pos="360"/>
        </w:tabs>
        <w:spacing w:line="360" w:lineRule="auto"/>
        <w:ind w:left="284" w:hanging="284" w:firstLineChars="0"/>
        <w:rPr>
          <w:rFonts w:eastAsia="黑体" w:cs="Times New Roman"/>
          <w:color w:val="000000"/>
          <w:kern w:val="0"/>
          <w:szCs w:val="21"/>
        </w:rPr>
      </w:pPr>
      <w:r>
        <w:rPr>
          <w:rFonts w:eastAsia="黑体" w:cs="Times New Roman"/>
          <w:color w:val="000000"/>
          <w:kern w:val="0"/>
          <w:szCs w:val="21"/>
        </w:rPr>
        <w:t>范围</w:t>
      </w:r>
    </w:p>
    <w:p>
      <w:pPr>
        <w:spacing w:line="360" w:lineRule="auto"/>
        <w:ind w:firstLine="420" w:firstLineChars="200"/>
        <w:rPr>
          <w:rFonts w:ascii="Times New Roman" w:hAnsi="Times New Roman" w:cs="Times New Roman" w:eastAsiaTheme="minorEastAsia"/>
          <w:kern w:val="18"/>
          <w:szCs w:val="21"/>
        </w:rPr>
      </w:pPr>
      <w:r>
        <w:rPr>
          <w:rFonts w:ascii="Times New Roman" w:hAnsi="Times New Roman" w:cs="Times New Roman" w:eastAsiaTheme="minorEastAsia"/>
          <w:kern w:val="18"/>
          <w:szCs w:val="21"/>
        </w:rPr>
        <w:t>本方法规定了食品（含保健食品）中</w:t>
      </w:r>
      <w:r>
        <w:rPr>
          <w:rFonts w:ascii="Times New Roman" w:hAnsi="Times New Roman" w:cs="Times New Roman" w:eastAsiaTheme="minorEastAsia"/>
          <w:szCs w:val="21"/>
        </w:rPr>
        <w:t>酚妥拉明、哌唑嗪、特拉唑嗪、育亨宾、妥拉唑林</w:t>
      </w:r>
      <w:r>
        <w:rPr>
          <w:rFonts w:ascii="Times New Roman" w:hAnsi="Times New Roman" w:cs="Times New Roman" w:eastAsiaTheme="minorEastAsia"/>
          <w:kern w:val="18"/>
          <w:szCs w:val="21"/>
        </w:rPr>
        <w:t>的高效液相色谱-串联质谱测定方法。</w:t>
      </w:r>
    </w:p>
    <w:p>
      <w:pPr>
        <w:pStyle w:val="45"/>
        <w:spacing w:line="360" w:lineRule="auto"/>
        <w:ind w:firstLine="420"/>
        <w:rPr>
          <w:rFonts w:ascii="Times New Roman" w:hAnsi="Times New Roman" w:cs="Times New Roman" w:eastAsiaTheme="minorEastAsia"/>
          <w:kern w:val="18"/>
          <w:szCs w:val="21"/>
        </w:rPr>
      </w:pPr>
      <w:r>
        <w:rPr>
          <w:rFonts w:ascii="Times New Roman" w:hAnsi="Times New Roman" w:cs="Times New Roman" w:eastAsiaTheme="minorEastAsia"/>
          <w:kern w:val="18"/>
          <w:szCs w:val="21"/>
        </w:rPr>
        <w:t>本方法适用于糖果（硬质糖果、凝胶糖果）、酒、茶饮料等食品及</w:t>
      </w:r>
      <w:r>
        <w:rPr>
          <w:rFonts w:ascii="Times New Roman" w:hAnsi="Times New Roman" w:cs="Times New Roman" w:eastAsiaTheme="minorEastAsia"/>
          <w:szCs w:val="21"/>
        </w:rPr>
        <w:t>片剂、口服液、胶囊剂等</w:t>
      </w:r>
      <w:r>
        <w:rPr>
          <w:rFonts w:ascii="Times New Roman" w:hAnsi="Times New Roman" w:cs="Times New Roman" w:eastAsiaTheme="minorEastAsia"/>
          <w:kern w:val="18"/>
          <w:szCs w:val="21"/>
        </w:rPr>
        <w:t>保健食品中</w:t>
      </w:r>
      <w:r>
        <w:rPr>
          <w:rFonts w:ascii="Times New Roman" w:hAnsi="Times New Roman" w:cs="Times New Roman" w:eastAsiaTheme="minorEastAsia"/>
          <w:szCs w:val="21"/>
        </w:rPr>
        <w:t>酚妥拉明、哌唑嗪、特拉唑嗪、育亨宾、妥拉唑林</w:t>
      </w:r>
      <w:r>
        <w:rPr>
          <w:rFonts w:ascii="Times New Roman" w:hAnsi="Times New Roman" w:cs="Times New Roman" w:eastAsiaTheme="minorEastAsia"/>
          <w:kern w:val="18"/>
          <w:szCs w:val="21"/>
        </w:rPr>
        <w:t>的测定和确证。其他类似基质可参照本方法检测。</w:t>
      </w:r>
    </w:p>
    <w:p>
      <w:pPr>
        <w:pStyle w:val="51"/>
        <w:numPr>
          <w:ilvl w:val="0"/>
          <w:numId w:val="3"/>
        </w:numPr>
        <w:tabs>
          <w:tab w:val="clear" w:pos="360"/>
        </w:tabs>
        <w:spacing w:line="360" w:lineRule="auto"/>
        <w:ind w:left="284" w:hanging="284" w:firstLineChars="0"/>
        <w:rPr>
          <w:rFonts w:eastAsia="黑体" w:cs="Times New Roman"/>
          <w:color w:val="000000"/>
          <w:kern w:val="0"/>
          <w:szCs w:val="21"/>
        </w:rPr>
      </w:pPr>
      <w:r>
        <w:rPr>
          <w:rFonts w:eastAsia="黑体" w:cs="Times New Roman"/>
          <w:color w:val="000000"/>
          <w:kern w:val="0"/>
          <w:szCs w:val="21"/>
        </w:rPr>
        <w:t>原理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试样经甲醇超声提取，过滤后，滤液供高效液相色谱-串联质谱测定，外标法定量。</w:t>
      </w:r>
    </w:p>
    <w:p>
      <w:pPr>
        <w:pStyle w:val="51"/>
        <w:numPr>
          <w:ilvl w:val="0"/>
          <w:numId w:val="3"/>
        </w:numPr>
        <w:tabs>
          <w:tab w:val="clear" w:pos="360"/>
        </w:tabs>
        <w:spacing w:line="360" w:lineRule="auto"/>
        <w:ind w:left="284" w:hanging="284" w:firstLineChars="0"/>
        <w:rPr>
          <w:rFonts w:eastAsia="黑体" w:cs="Times New Roman"/>
          <w:color w:val="000000"/>
          <w:kern w:val="0"/>
          <w:szCs w:val="21"/>
        </w:rPr>
      </w:pPr>
      <w:r>
        <w:rPr>
          <w:rFonts w:eastAsia="黑体" w:cs="Times New Roman"/>
          <w:color w:val="000000"/>
          <w:kern w:val="0"/>
          <w:szCs w:val="21"/>
        </w:rPr>
        <w:t>试剂和材料</w:t>
      </w:r>
    </w:p>
    <w:p>
      <w:pPr>
        <w:overflowPunct w:val="0"/>
        <w:spacing w:line="360" w:lineRule="auto"/>
        <w:ind w:firstLine="420" w:firstLineChars="200"/>
        <w:rPr>
          <w:rFonts w:cs="Times New Roman" w:asciiTheme="minorEastAsia" w:hAnsiTheme="minorEastAsia" w:eastAsiaTheme="minorEastAsia"/>
          <w:color w:val="000000"/>
          <w:szCs w:val="21"/>
        </w:rPr>
      </w:pPr>
      <w:r>
        <w:rPr>
          <w:rFonts w:cs="Times New Roman" w:asciiTheme="minorEastAsia" w:hAnsiTheme="minorEastAsia" w:eastAsiaTheme="minorEastAsia"/>
          <w:color w:val="000000"/>
          <w:szCs w:val="21"/>
        </w:rPr>
        <w:t>除另有规定</w:t>
      </w:r>
      <w:r>
        <w:rPr>
          <w:rFonts w:hint="eastAsia" w:cs="Times New Roman" w:asciiTheme="minorEastAsia" w:hAnsiTheme="minorEastAsia" w:eastAsiaTheme="minorEastAsia"/>
          <w:color w:val="000000"/>
          <w:szCs w:val="21"/>
        </w:rPr>
        <w:t>外</w:t>
      </w:r>
      <w:r>
        <w:rPr>
          <w:rFonts w:cs="Times New Roman" w:asciiTheme="minorEastAsia" w:hAnsiTheme="minorEastAsia" w:eastAsiaTheme="minorEastAsia"/>
          <w:color w:val="000000"/>
          <w:szCs w:val="21"/>
        </w:rPr>
        <w:t>，本方法中所用试剂均为分析纯，水为符合</w:t>
      </w:r>
      <w:r>
        <w:rPr>
          <w:rFonts w:ascii="Times New Roman" w:hAnsi="Times New Roman" w:cs="Times New Roman" w:eastAsiaTheme="minorEastAsia"/>
          <w:color w:val="000000"/>
          <w:szCs w:val="21"/>
        </w:rPr>
        <w:t>GB/T 6682</w:t>
      </w:r>
      <w:r>
        <w:rPr>
          <w:rFonts w:cs="Times New Roman" w:asciiTheme="minorEastAsia" w:hAnsiTheme="minorEastAsia" w:eastAsiaTheme="minorEastAsia"/>
          <w:color w:val="000000"/>
          <w:szCs w:val="21"/>
        </w:rPr>
        <w:t>规定的一级水。</w:t>
      </w:r>
    </w:p>
    <w:p>
      <w:pPr>
        <w:spacing w:line="360" w:lineRule="auto"/>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3.1 试剂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3.1.1乙腈（CH</w:t>
      </w:r>
      <w:r>
        <w:rPr>
          <w:rFonts w:ascii="Times New Roman" w:hAnsi="Times New Roman" w:eastAsia="宋体" w:cs="Times New Roman"/>
          <w:szCs w:val="21"/>
          <w:vertAlign w:val="subscript"/>
        </w:rPr>
        <w:t>3</w:t>
      </w:r>
      <w:r>
        <w:rPr>
          <w:rFonts w:ascii="Times New Roman" w:hAnsi="Times New Roman" w:eastAsia="宋体" w:cs="Times New Roman"/>
          <w:szCs w:val="21"/>
        </w:rPr>
        <w:t>CN）：色谱纯。</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3.1.2甲酸（CH</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ascii="Times New Roman" w:hAnsi="Times New Roman" w:eastAsia="宋体" w:cs="Times New Roman"/>
          <w:szCs w:val="21"/>
        </w:rPr>
        <w:t>）：色谱纯。</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3.1.3甲醇（CH</w:t>
      </w:r>
      <w:r>
        <w:rPr>
          <w:rFonts w:ascii="Times New Roman" w:hAnsi="Times New Roman" w:eastAsia="宋体" w:cs="Times New Roman"/>
          <w:szCs w:val="21"/>
          <w:vertAlign w:val="subscript"/>
        </w:rPr>
        <w:t>3</w:t>
      </w:r>
      <w:r>
        <w:rPr>
          <w:rFonts w:ascii="Times New Roman" w:hAnsi="Times New Roman" w:eastAsia="宋体" w:cs="Times New Roman"/>
          <w:szCs w:val="21"/>
        </w:rPr>
        <w:t>OH）：色谱纯。</w:t>
      </w: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3.1.4 0.1%甲酸</w:t>
      </w:r>
      <w:r>
        <w:rPr>
          <w:rFonts w:hint="eastAsia" w:ascii="Times New Roman" w:hAnsi="Times New Roman" w:eastAsia="宋体" w:cs="Times New Roman"/>
          <w:szCs w:val="21"/>
        </w:rPr>
        <w:t>水</w:t>
      </w:r>
      <w:r>
        <w:rPr>
          <w:rFonts w:ascii="Times New Roman" w:hAnsi="Times New Roman" w:eastAsia="宋体" w:cs="Times New Roman"/>
          <w:szCs w:val="21"/>
        </w:rPr>
        <w:t>溶液：精密量取甲酸（3.1.2）1 mL</w:t>
      </w:r>
      <w:r>
        <w:rPr>
          <w:rFonts w:hint="eastAsia" w:ascii="Times New Roman" w:hAnsi="Times New Roman" w:eastAsia="宋体" w:cs="Times New Roman"/>
          <w:szCs w:val="21"/>
        </w:rPr>
        <w:t>，</w:t>
      </w:r>
      <w:r>
        <w:rPr>
          <w:rFonts w:ascii="Times New Roman" w:hAnsi="Times New Roman" w:eastAsia="宋体" w:cs="Times New Roman"/>
          <w:szCs w:val="21"/>
        </w:rPr>
        <w:t>用水稀释至1000 mL。</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3.1.5 0.1%甲酸乙腈溶液：精密量取甲酸</w:t>
      </w:r>
      <w:r>
        <w:rPr>
          <w:rFonts w:hint="eastAsia" w:ascii="Times New Roman" w:hAnsi="Times New Roman" w:eastAsia="宋体" w:cs="Times New Roman"/>
          <w:szCs w:val="21"/>
        </w:rPr>
        <w:t>（</w:t>
      </w:r>
      <w:r>
        <w:rPr>
          <w:rFonts w:ascii="Times New Roman" w:hAnsi="Times New Roman" w:eastAsia="宋体" w:cs="Times New Roman"/>
          <w:szCs w:val="21"/>
        </w:rPr>
        <w:t>3.1.2</w:t>
      </w:r>
      <w:r>
        <w:rPr>
          <w:rFonts w:hint="eastAsia" w:ascii="Times New Roman" w:hAnsi="Times New Roman" w:eastAsia="宋体" w:cs="Times New Roman"/>
          <w:szCs w:val="21"/>
        </w:rPr>
        <w:t>）</w:t>
      </w:r>
      <w:r>
        <w:rPr>
          <w:rFonts w:ascii="Times New Roman" w:hAnsi="Times New Roman" w:eastAsia="宋体" w:cs="Times New Roman"/>
          <w:szCs w:val="21"/>
        </w:rPr>
        <w:t>1 mL</w:t>
      </w:r>
      <w:r>
        <w:rPr>
          <w:rFonts w:hint="eastAsia" w:ascii="Times New Roman" w:hAnsi="Times New Roman" w:eastAsia="宋体" w:cs="Times New Roman"/>
          <w:szCs w:val="21"/>
        </w:rPr>
        <w:t>，</w:t>
      </w:r>
      <w:r>
        <w:rPr>
          <w:rFonts w:ascii="Times New Roman" w:hAnsi="Times New Roman" w:eastAsia="宋体" w:cs="Times New Roman"/>
          <w:szCs w:val="21"/>
        </w:rPr>
        <w:t>用乙腈（3.1.1）稀释至1000 mL。</w:t>
      </w:r>
    </w:p>
    <w:p>
      <w:pPr>
        <w:spacing w:line="360" w:lineRule="auto"/>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3.2 标准品</w:t>
      </w:r>
    </w:p>
    <w:p>
      <w:pPr>
        <w:spacing w:line="360" w:lineRule="auto"/>
        <w:ind w:firstLine="420" w:firstLineChars="200"/>
        <w:rPr>
          <w:rFonts w:ascii="Times New Roman" w:hAnsi="Times New Roman" w:eastAsia="宋体" w:cs="Times New Roman"/>
          <w:color w:val="FF0000"/>
          <w:szCs w:val="21"/>
        </w:rPr>
      </w:pPr>
      <w:r>
        <w:rPr>
          <w:rFonts w:ascii="Times New Roman" w:hAnsi="Times New Roman" w:eastAsia="宋体" w:cs="Times New Roman"/>
          <w:szCs w:val="21"/>
        </w:rPr>
        <w:t>甲磺酸酚妥拉明、盐酸哌唑嗪、盐酸特拉唑嗪、盐酸育亨宾、盐酸妥拉唑林标准品的中文名称、英文名称、CAS登录号、分子式、相对分子质量和折算系数详见附录A，甲磺酸酚妥拉明、盐酸哌唑嗪、盐酸育亨宾、盐酸妥拉唑林纯度均</w:t>
      </w:r>
      <w:r>
        <w:rPr>
          <w:rFonts w:cs="Times New Roman" w:asciiTheme="minorEastAsia" w:hAnsiTheme="minorEastAsia" w:eastAsiaTheme="minorEastAsia"/>
          <w:szCs w:val="21"/>
        </w:rPr>
        <w:t>≥</w:t>
      </w:r>
      <w:r>
        <w:rPr>
          <w:rFonts w:ascii="Times New Roman" w:hAnsi="Times New Roman" w:eastAsia="宋体" w:cs="Times New Roman"/>
          <w:szCs w:val="21"/>
        </w:rPr>
        <w:t>99%，盐酸特拉唑嗪纯度</w:t>
      </w:r>
      <w:r>
        <w:rPr>
          <w:rFonts w:ascii="宋体" w:hAnsi="宋体" w:eastAsia="宋体" w:cs="Times New Roman"/>
          <w:szCs w:val="21"/>
        </w:rPr>
        <w:t>≥</w:t>
      </w:r>
      <w:r>
        <w:rPr>
          <w:rFonts w:ascii="Times New Roman" w:hAnsi="Times New Roman" w:eastAsia="宋体" w:cs="Times New Roman"/>
          <w:szCs w:val="21"/>
        </w:rPr>
        <w:t>92%。</w:t>
      </w:r>
    </w:p>
    <w:p>
      <w:pPr>
        <w:spacing w:line="360" w:lineRule="auto"/>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3.3 标准溶液配制</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3.3.1标准储备液（500 μg/mL）：精密称取标准品（3.2），分别折算成</w:t>
      </w:r>
      <w:r>
        <w:rPr>
          <w:rFonts w:ascii="Times New Roman" w:hAnsi="Times New Roman" w:eastAsia="宋体" w:cs="Times New Roman"/>
          <w:szCs w:val="21"/>
        </w:rPr>
        <w:t>酚妥拉明、哌唑嗪、特拉唑嗪、育亨宾、妥拉唑林（3.2）各</w:t>
      </w:r>
      <w:r>
        <w:rPr>
          <w:rFonts w:ascii="Times New Roman" w:hAnsi="Times New Roman" w:eastAsia="宋体" w:cs="Times New Roman"/>
          <w:bCs/>
          <w:szCs w:val="21"/>
        </w:rPr>
        <w:t>10 mg，</w:t>
      </w:r>
      <w:r>
        <w:rPr>
          <w:rFonts w:ascii="Times New Roman" w:hAnsi="Times New Roman" w:eastAsia="宋体" w:cs="Times New Roman"/>
          <w:spacing w:val="5"/>
          <w:szCs w:val="21"/>
        </w:rPr>
        <w:t>用甲醇</w:t>
      </w:r>
      <w:r>
        <w:rPr>
          <w:rFonts w:hint="eastAsia" w:ascii="Times New Roman" w:hAnsi="Times New Roman" w:eastAsia="宋体" w:cs="Times New Roman"/>
          <w:szCs w:val="21"/>
        </w:rPr>
        <w:t>（</w:t>
      </w:r>
      <w:r>
        <w:rPr>
          <w:rFonts w:ascii="Times New Roman" w:hAnsi="Times New Roman" w:eastAsia="宋体" w:cs="Times New Roman"/>
          <w:szCs w:val="21"/>
        </w:rPr>
        <w:t>3.1.3</w:t>
      </w:r>
      <w:r>
        <w:rPr>
          <w:rFonts w:hint="eastAsia" w:ascii="Times New Roman" w:hAnsi="Times New Roman" w:eastAsia="宋体" w:cs="Times New Roman"/>
          <w:szCs w:val="21"/>
        </w:rPr>
        <w:t>）</w:t>
      </w:r>
      <w:r>
        <w:rPr>
          <w:rFonts w:ascii="Times New Roman" w:hAnsi="Times New Roman" w:eastAsia="宋体" w:cs="Times New Roman"/>
          <w:spacing w:val="5"/>
          <w:szCs w:val="21"/>
        </w:rPr>
        <w:t>溶解，</w:t>
      </w:r>
      <w:r>
        <w:rPr>
          <w:rFonts w:ascii="Times New Roman" w:hAnsi="Times New Roman" w:eastAsia="宋体" w:cs="Times New Roman"/>
          <w:szCs w:val="21"/>
        </w:rPr>
        <w:t>并转移至20 mL容量瓶中，定容至刻度，</w:t>
      </w:r>
      <w:r>
        <w:rPr>
          <w:rFonts w:ascii="Times New Roman" w:hAnsi="Times New Roman" w:eastAsia="宋体" w:cs="Times New Roman"/>
          <w:spacing w:val="5"/>
          <w:szCs w:val="21"/>
        </w:rPr>
        <w:t>制成浓度为</w:t>
      </w:r>
      <w:r>
        <w:rPr>
          <w:rFonts w:ascii="Times New Roman" w:hAnsi="Times New Roman" w:eastAsia="宋体" w:cs="Times New Roman"/>
          <w:bCs/>
          <w:szCs w:val="21"/>
        </w:rPr>
        <w:t>500 μg/mL</w:t>
      </w:r>
      <w:r>
        <w:rPr>
          <w:rFonts w:hint="eastAsia" w:ascii="Times New Roman" w:hAnsi="Times New Roman" w:eastAsia="宋体" w:cs="Times New Roman"/>
          <w:bCs/>
          <w:szCs w:val="21"/>
        </w:rPr>
        <w:t>的</w:t>
      </w:r>
      <w:r>
        <w:rPr>
          <w:rFonts w:ascii="Times New Roman" w:hAnsi="Times New Roman" w:eastAsia="宋体" w:cs="Times New Roman"/>
          <w:spacing w:val="5"/>
          <w:szCs w:val="21"/>
        </w:rPr>
        <w:t>标准储备液，-18</w:t>
      </w:r>
      <w:r>
        <w:rPr>
          <w:rFonts w:hint="eastAsia"/>
          <w:szCs w:val="21"/>
        </w:rPr>
        <w:t xml:space="preserve"> </w:t>
      </w:r>
      <w:r>
        <w:rPr>
          <w:rFonts w:hAnsi="宋体"/>
          <w:szCs w:val="21"/>
        </w:rPr>
        <w:t>℃</w:t>
      </w:r>
      <w:r>
        <w:rPr>
          <w:rFonts w:ascii="Times New Roman" w:hAnsi="Times New Roman" w:eastAsia="宋体" w:cs="Times New Roman"/>
          <w:spacing w:val="5"/>
          <w:szCs w:val="21"/>
        </w:rPr>
        <w:t>保存，</w:t>
      </w:r>
      <w:r>
        <w:rPr>
          <w:rFonts w:hint="eastAsia" w:ascii="Times New Roman" w:hAnsi="Times New Roman" w:eastAsia="宋体" w:cs="Times New Roman"/>
          <w:spacing w:val="5"/>
          <w:szCs w:val="21"/>
        </w:rPr>
        <w:t>有效</w:t>
      </w:r>
      <w:r>
        <w:rPr>
          <w:rFonts w:ascii="Times New Roman" w:hAnsi="Times New Roman" w:eastAsia="宋体" w:cs="Times New Roman"/>
          <w:spacing w:val="5"/>
          <w:szCs w:val="21"/>
        </w:rPr>
        <w:t>期6个月。</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3.3.2标准中间液（</w:t>
      </w:r>
      <w:r>
        <w:rPr>
          <w:rFonts w:ascii="Times New Roman" w:hAnsi="Times New Roman" w:eastAsia="宋体" w:cs="Times New Roman"/>
          <w:szCs w:val="21"/>
        </w:rPr>
        <w:t>10 μg/mL）：准确吸取酚妥拉明、哌唑嗪、特拉唑嗪、育亨宾、妥拉唑林</w:t>
      </w:r>
      <w:r>
        <w:rPr>
          <w:rFonts w:ascii="Times New Roman" w:hAnsi="Times New Roman" w:eastAsia="宋体" w:cs="Times New Roman"/>
          <w:bCs/>
          <w:szCs w:val="21"/>
        </w:rPr>
        <w:t>标准储备液（</w:t>
      </w:r>
      <w:r>
        <w:rPr>
          <w:rFonts w:ascii="Times New Roman" w:hAnsi="Times New Roman" w:eastAsia="宋体" w:cs="Times New Roman"/>
          <w:szCs w:val="21"/>
        </w:rPr>
        <w:t>3.3.1）各1 mL，置于50 mL容量瓶中</w:t>
      </w:r>
      <w:r>
        <w:rPr>
          <w:rFonts w:hint="eastAsia" w:ascii="Times New Roman" w:hAnsi="Times New Roman" w:eastAsia="宋体" w:cs="Times New Roman"/>
          <w:szCs w:val="21"/>
        </w:rPr>
        <w:t>，</w:t>
      </w:r>
      <w:r>
        <w:rPr>
          <w:rFonts w:ascii="Times New Roman" w:hAnsi="Times New Roman" w:eastAsia="宋体" w:cs="Times New Roman"/>
          <w:szCs w:val="21"/>
        </w:rPr>
        <w:t>用</w:t>
      </w:r>
      <w:r>
        <w:rPr>
          <w:rFonts w:ascii="Times New Roman" w:hAnsi="Times New Roman" w:eastAsia="宋体" w:cs="Times New Roman"/>
          <w:spacing w:val="5"/>
          <w:szCs w:val="21"/>
        </w:rPr>
        <w:t>甲醇</w:t>
      </w:r>
      <w:r>
        <w:rPr>
          <w:rFonts w:ascii="Times New Roman" w:hAnsi="Times New Roman" w:eastAsia="宋体" w:cs="Times New Roman"/>
          <w:szCs w:val="21"/>
        </w:rPr>
        <w:t>稀释至刻度，摇匀，制成</w:t>
      </w:r>
      <w:r>
        <w:rPr>
          <w:rFonts w:ascii="Times New Roman" w:hAnsi="Times New Roman" w:eastAsia="宋体" w:cs="Times New Roman"/>
          <w:spacing w:val="5"/>
          <w:szCs w:val="21"/>
        </w:rPr>
        <w:t>浓度为</w:t>
      </w:r>
      <w:r>
        <w:rPr>
          <w:rFonts w:ascii="Times New Roman" w:hAnsi="Times New Roman" w:eastAsia="宋体" w:cs="Times New Roman"/>
          <w:szCs w:val="21"/>
        </w:rPr>
        <w:t>10 μg/mL的标准中间液</w:t>
      </w:r>
      <w:r>
        <w:rPr>
          <w:rFonts w:hint="eastAsia" w:ascii="Times New Roman" w:hAnsi="Times New Roman" w:eastAsia="宋体" w:cs="Times New Roman"/>
          <w:szCs w:val="21"/>
        </w:rPr>
        <w:t>，</w:t>
      </w:r>
      <w:r>
        <w:rPr>
          <w:rFonts w:ascii="Times New Roman" w:hAnsi="Times New Roman" w:eastAsia="宋体" w:cs="Times New Roman"/>
          <w:spacing w:val="5"/>
          <w:szCs w:val="21"/>
        </w:rPr>
        <w:t>4</w:t>
      </w:r>
      <w:r>
        <w:rPr>
          <w:rFonts w:hint="eastAsia"/>
          <w:szCs w:val="21"/>
        </w:rPr>
        <w:t xml:space="preserve"> </w:t>
      </w:r>
      <w:r>
        <w:rPr>
          <w:rFonts w:hAnsi="宋体"/>
          <w:szCs w:val="21"/>
        </w:rPr>
        <w:t>℃</w:t>
      </w:r>
      <w:r>
        <w:rPr>
          <w:rFonts w:ascii="Times New Roman" w:hAnsi="Times New Roman" w:eastAsia="宋体" w:cs="Times New Roman"/>
          <w:spacing w:val="5"/>
          <w:szCs w:val="21"/>
        </w:rPr>
        <w:t>避光保存，</w:t>
      </w:r>
      <w:r>
        <w:rPr>
          <w:rFonts w:hint="eastAsia" w:ascii="Times New Roman" w:hAnsi="Times New Roman" w:eastAsia="宋体" w:cs="Times New Roman"/>
          <w:spacing w:val="5"/>
          <w:szCs w:val="21"/>
        </w:rPr>
        <w:t>有效</w:t>
      </w:r>
      <w:r>
        <w:rPr>
          <w:rFonts w:ascii="Times New Roman" w:hAnsi="Times New Roman" w:eastAsia="宋体" w:cs="Times New Roman"/>
          <w:spacing w:val="5"/>
          <w:szCs w:val="21"/>
        </w:rPr>
        <w:t>期3个月</w:t>
      </w:r>
      <w:r>
        <w:rPr>
          <w:rFonts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pacing w:val="5"/>
          <w:szCs w:val="21"/>
        </w:rPr>
        <w:t>3.3.3混合标准中间液：</w:t>
      </w:r>
      <w:r>
        <w:rPr>
          <w:rFonts w:ascii="Times New Roman" w:hAnsi="Times New Roman" w:eastAsia="宋体" w:cs="Times New Roman"/>
          <w:szCs w:val="21"/>
        </w:rPr>
        <w:t>准确吸取酚妥拉明</w:t>
      </w:r>
      <w:r>
        <w:rPr>
          <w:rFonts w:ascii="Times New Roman" w:hAnsi="Times New Roman" w:eastAsia="宋体" w:cs="Times New Roman"/>
          <w:bCs/>
          <w:szCs w:val="21"/>
        </w:rPr>
        <w:t>标准中间液</w:t>
      </w:r>
      <w:r>
        <w:rPr>
          <w:rFonts w:ascii="Times New Roman" w:hAnsi="Times New Roman" w:eastAsia="宋体" w:cs="Times New Roman"/>
          <w:szCs w:val="21"/>
        </w:rPr>
        <w:t>（3.3.2）2 mL、哌唑嗪</w:t>
      </w:r>
      <w:r>
        <w:rPr>
          <w:rFonts w:ascii="Times New Roman" w:hAnsi="Times New Roman" w:eastAsia="宋体" w:cs="Times New Roman"/>
          <w:bCs/>
          <w:szCs w:val="21"/>
        </w:rPr>
        <w:t>标准中间液</w:t>
      </w:r>
      <w:r>
        <w:rPr>
          <w:rFonts w:ascii="Times New Roman" w:hAnsi="Times New Roman" w:eastAsia="宋体" w:cs="Times New Roman"/>
          <w:szCs w:val="21"/>
        </w:rPr>
        <w:t>（3.3.2）2 mL、特拉唑嗪</w:t>
      </w:r>
      <w:r>
        <w:rPr>
          <w:rFonts w:ascii="Times New Roman" w:hAnsi="Times New Roman" w:eastAsia="宋体" w:cs="Times New Roman"/>
          <w:bCs/>
          <w:szCs w:val="21"/>
        </w:rPr>
        <w:t>标准中间液（</w:t>
      </w:r>
      <w:r>
        <w:rPr>
          <w:rFonts w:ascii="Times New Roman" w:hAnsi="Times New Roman" w:eastAsia="宋体" w:cs="Times New Roman"/>
          <w:szCs w:val="21"/>
        </w:rPr>
        <w:t>3.3.2）1 mL、育亨宾</w:t>
      </w:r>
      <w:r>
        <w:rPr>
          <w:rFonts w:ascii="Times New Roman" w:hAnsi="Times New Roman" w:eastAsia="宋体" w:cs="Times New Roman"/>
          <w:bCs/>
          <w:szCs w:val="21"/>
        </w:rPr>
        <w:t>标准标准中间液</w:t>
      </w:r>
      <w:r>
        <w:rPr>
          <w:rFonts w:ascii="Times New Roman" w:hAnsi="Times New Roman" w:eastAsia="宋体" w:cs="Times New Roman"/>
          <w:szCs w:val="21"/>
        </w:rPr>
        <w:t>（3.3.2）1 mL、妥拉唑林</w:t>
      </w:r>
      <w:r>
        <w:rPr>
          <w:rFonts w:ascii="Times New Roman" w:hAnsi="Times New Roman" w:eastAsia="宋体" w:cs="Times New Roman"/>
          <w:bCs/>
          <w:szCs w:val="21"/>
        </w:rPr>
        <w:t>标准中间液</w:t>
      </w:r>
      <w:r>
        <w:rPr>
          <w:rFonts w:ascii="Times New Roman" w:hAnsi="Times New Roman" w:eastAsia="宋体" w:cs="Times New Roman"/>
          <w:szCs w:val="21"/>
        </w:rPr>
        <w:t>（3.3.2）8 mL，置于同一100 mL容量瓶中</w:t>
      </w:r>
      <w:r>
        <w:rPr>
          <w:rFonts w:hint="eastAsia" w:ascii="Times New Roman" w:hAnsi="Times New Roman" w:eastAsia="宋体" w:cs="Times New Roman"/>
          <w:szCs w:val="21"/>
        </w:rPr>
        <w:t>，</w:t>
      </w:r>
      <w:r>
        <w:rPr>
          <w:rFonts w:ascii="Times New Roman" w:hAnsi="Times New Roman" w:eastAsia="宋体" w:cs="Times New Roman"/>
          <w:szCs w:val="21"/>
        </w:rPr>
        <w:t>用</w:t>
      </w:r>
      <w:r>
        <w:rPr>
          <w:rFonts w:ascii="Times New Roman" w:hAnsi="Times New Roman" w:eastAsia="宋体" w:cs="Times New Roman"/>
          <w:spacing w:val="5"/>
          <w:szCs w:val="21"/>
        </w:rPr>
        <w:t>甲醇</w:t>
      </w:r>
      <w:r>
        <w:rPr>
          <w:rFonts w:ascii="Times New Roman" w:hAnsi="Times New Roman" w:eastAsia="宋体" w:cs="Times New Roman"/>
          <w:szCs w:val="21"/>
        </w:rPr>
        <w:t>稀释至刻度，摇匀，制成</w:t>
      </w:r>
      <w:r>
        <w:rPr>
          <w:rFonts w:ascii="Times New Roman" w:hAnsi="Times New Roman" w:eastAsia="宋体" w:cs="Times New Roman"/>
          <w:spacing w:val="5"/>
          <w:szCs w:val="21"/>
        </w:rPr>
        <w:t>混合标准中间液</w:t>
      </w:r>
      <w:r>
        <w:rPr>
          <w:rFonts w:ascii="Times New Roman" w:hAnsi="Times New Roman" w:eastAsia="宋体" w:cs="Times New Roman"/>
          <w:szCs w:val="21"/>
        </w:rPr>
        <w:t>，</w:t>
      </w:r>
      <w:r>
        <w:rPr>
          <w:rFonts w:ascii="Times New Roman" w:hAnsi="Times New Roman" w:eastAsia="宋体" w:cs="Times New Roman"/>
          <w:spacing w:val="5"/>
          <w:szCs w:val="21"/>
        </w:rPr>
        <w:t>临用新制。</w:t>
      </w:r>
      <w:r>
        <w:rPr>
          <w:rFonts w:ascii="Times New Roman" w:hAnsi="Times New Roman" w:eastAsia="宋体" w:cs="Times New Roman"/>
          <w:szCs w:val="21"/>
        </w:rPr>
        <w:t>其中酚妥拉明、哌唑嗪浓度为200 ng/mL，特拉唑嗪、育亨宾浓度为100 ng/mL，妥拉唑林浓度为800 ng/mL。</w:t>
      </w:r>
    </w:p>
    <w:p>
      <w:pPr>
        <w:spacing w:line="360" w:lineRule="auto"/>
        <w:rPr>
          <w:rFonts w:ascii="Times New Roman" w:hAnsi="Times New Roman" w:eastAsia="宋体" w:cs="Times New Roman"/>
        </w:rPr>
      </w:pPr>
      <w:r>
        <w:rPr>
          <w:rFonts w:ascii="Times New Roman" w:hAnsi="Times New Roman" w:eastAsia="宋体" w:cs="Times New Roman"/>
        </w:rPr>
        <w:t>3.3.4混合标准工作溶液：分别准确吸取混合标准中间液（3.3.3）0.1 mL、0.2 mL、1.0 mL、2.0 mL、5.0 mL，置于20 mL容量瓶中，用甲醇定容至刻度，摇匀，作为系列混合标准工作溶液S1~S5，酚妥拉明、哌唑嗪浓度均依次为1 ng/mL、2 ng/mL、10 ng/mL、20 ng/mL、50 ng/mL，特拉唑嗪、育亨宾浓度均依次为0.5 ng/mL、1 ng/mL、5 ng/mL、10 ng/mL、25 ng/mL，妥拉唑林浓度依次为4 ng/mL、8 ng/mL、40 ng/mL、80 ng/mL、200 ng/mL。临用新制或依仪器响应情况配制适当浓度的混合标准工作溶液。</w:t>
      </w:r>
    </w:p>
    <w:p>
      <w:pPr>
        <w:pStyle w:val="51"/>
        <w:numPr>
          <w:ilvl w:val="0"/>
          <w:numId w:val="3"/>
        </w:numPr>
        <w:tabs>
          <w:tab w:val="clear" w:pos="360"/>
        </w:tabs>
        <w:spacing w:line="360" w:lineRule="auto"/>
        <w:ind w:left="284" w:hanging="284" w:firstLineChars="0"/>
        <w:rPr>
          <w:rFonts w:eastAsia="黑体" w:cs="Times New Roman"/>
          <w:color w:val="000000"/>
          <w:kern w:val="0"/>
          <w:szCs w:val="21"/>
        </w:rPr>
      </w:pPr>
      <w:r>
        <w:rPr>
          <w:rFonts w:eastAsia="黑体" w:cs="Times New Roman"/>
          <w:color w:val="000000"/>
          <w:kern w:val="0"/>
          <w:szCs w:val="21"/>
        </w:rPr>
        <w:t>仪器和设备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4.1 </w:t>
      </w:r>
      <w:r>
        <w:rPr>
          <w:rFonts w:ascii="黑体" w:hAnsi="黑体" w:eastAsia="黑体" w:cs="Times New Roman"/>
          <w:szCs w:val="21"/>
        </w:rPr>
        <w:t>高效液相色谱-串联质谱仪：</w:t>
      </w:r>
      <w:r>
        <w:rPr>
          <w:rFonts w:ascii="Times New Roman" w:hAnsi="Times New Roman" w:eastAsia="宋体" w:cs="Times New Roman"/>
          <w:szCs w:val="21"/>
        </w:rPr>
        <w:t>配有电喷雾离子源。</w:t>
      </w:r>
    </w:p>
    <w:p>
      <w:pPr>
        <w:spacing w:line="360" w:lineRule="auto"/>
        <w:rPr>
          <w:rFonts w:ascii="Times New Roman" w:hAnsi="Times New Roman" w:eastAsia="宋体" w:cs="Times New Roman"/>
          <w:spacing w:val="5"/>
          <w:szCs w:val="21"/>
        </w:rPr>
      </w:pPr>
      <w:r>
        <w:rPr>
          <w:rFonts w:ascii="Times New Roman" w:hAnsi="Times New Roman" w:eastAsia="宋体" w:cs="Times New Roman"/>
          <w:szCs w:val="21"/>
        </w:rPr>
        <w:t xml:space="preserve">4.2 </w:t>
      </w:r>
      <w:r>
        <w:rPr>
          <w:rFonts w:ascii="黑体" w:hAnsi="黑体" w:eastAsia="黑体" w:cs="Times New Roman"/>
          <w:spacing w:val="5"/>
          <w:szCs w:val="21"/>
        </w:rPr>
        <w:t>分析天平：</w:t>
      </w:r>
      <w:r>
        <w:rPr>
          <w:rFonts w:ascii="Times New Roman" w:hAnsi="Times New Roman" w:eastAsia="宋体" w:cs="Times New Roman"/>
          <w:spacing w:val="5"/>
          <w:szCs w:val="21"/>
        </w:rPr>
        <w:t>感量分别为0.00001g和0.0001g。</w:t>
      </w:r>
    </w:p>
    <w:p>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4.3 </w:t>
      </w:r>
      <w:r>
        <w:rPr>
          <w:rFonts w:ascii="黑体" w:hAnsi="黑体" w:eastAsia="黑体" w:cs="Times New Roman"/>
          <w:spacing w:val="5"/>
          <w:szCs w:val="21"/>
        </w:rPr>
        <w:t>超声波清洗器。</w:t>
      </w:r>
    </w:p>
    <w:p>
      <w:pPr>
        <w:pStyle w:val="51"/>
        <w:numPr>
          <w:ilvl w:val="0"/>
          <w:numId w:val="3"/>
        </w:numPr>
        <w:tabs>
          <w:tab w:val="clear" w:pos="360"/>
        </w:tabs>
        <w:spacing w:line="360" w:lineRule="auto"/>
        <w:ind w:left="284" w:hanging="284" w:firstLineChars="0"/>
        <w:rPr>
          <w:rFonts w:eastAsia="黑体" w:cs="Times New Roman"/>
          <w:color w:val="000000"/>
          <w:kern w:val="0"/>
          <w:szCs w:val="21"/>
        </w:rPr>
      </w:pPr>
      <w:r>
        <w:rPr>
          <w:rFonts w:eastAsia="黑体" w:cs="Times New Roman"/>
          <w:color w:val="000000"/>
          <w:kern w:val="0"/>
          <w:szCs w:val="21"/>
        </w:rPr>
        <w:t>分析步骤</w:t>
      </w:r>
    </w:p>
    <w:p>
      <w:pPr>
        <w:pStyle w:val="51"/>
        <w:spacing w:line="360" w:lineRule="auto"/>
        <w:ind w:left="284" w:hanging="284" w:firstLineChars="0"/>
        <w:rPr>
          <w:rFonts w:eastAsia="黑体" w:cs="Times New Roman"/>
          <w:color w:val="000000"/>
          <w:kern w:val="0"/>
          <w:szCs w:val="21"/>
        </w:rPr>
      </w:pPr>
      <w:r>
        <w:rPr>
          <w:rFonts w:eastAsia="黑体" w:cs="Times New Roman"/>
          <w:color w:val="000000"/>
          <w:kern w:val="0"/>
          <w:szCs w:val="21"/>
        </w:rPr>
        <w:t>5.1 试样制备</w:t>
      </w:r>
    </w:p>
    <w:p>
      <w:pPr>
        <w:spacing w:line="360" w:lineRule="auto"/>
        <w:rPr>
          <w:rFonts w:ascii="Times New Roman" w:hAnsi="Times New Roman" w:eastAsia="宋体" w:cs="Times New Roman"/>
          <w:szCs w:val="21"/>
        </w:rPr>
      </w:pPr>
      <w:r>
        <w:rPr>
          <w:rFonts w:ascii="Times New Roman" w:hAnsi="Times New Roman" w:eastAsia="宋体" w:cs="Times New Roman"/>
          <w:color w:val="000000"/>
          <w:kern w:val="0"/>
          <w:szCs w:val="21"/>
        </w:rPr>
        <w:t>5.1.1固体试样：</w:t>
      </w:r>
      <w:r>
        <w:rPr>
          <w:rFonts w:ascii="Times New Roman" w:hAnsi="Times New Roman" w:eastAsia="宋体" w:cs="Times New Roman"/>
          <w:szCs w:val="21"/>
        </w:rPr>
        <w:t>取适量混匀，研细，称取粉末1 g</w:t>
      </w:r>
      <w:r>
        <w:rPr>
          <w:rFonts w:ascii="Times New Roman" w:hAnsi="Times New Roman" w:eastAsia="宋体" w:cs="Times New Roman"/>
          <w:color w:val="000000"/>
          <w:szCs w:val="21"/>
        </w:rPr>
        <w:t>（精确</w:t>
      </w:r>
      <w:r>
        <w:rPr>
          <w:rFonts w:ascii="Times New Roman" w:hAnsi="Times New Roman" w:eastAsia="宋体" w:cs="Times New Roman"/>
          <w:szCs w:val="21"/>
        </w:rPr>
        <w:t>至0. 001 g），</w:t>
      </w:r>
      <w:r>
        <w:rPr>
          <w:rFonts w:ascii="Times New Roman" w:hAnsi="Times New Roman" w:eastAsia="宋体" w:cs="Times New Roman"/>
          <w:color w:val="000000" w:themeColor="text1"/>
          <w:szCs w:val="21"/>
        </w:rPr>
        <w:t>置具塞试管</w:t>
      </w:r>
      <w:r>
        <w:rPr>
          <w:rFonts w:ascii="Times New Roman" w:hAnsi="Times New Roman" w:eastAsia="宋体" w:cs="Times New Roman"/>
          <w:szCs w:val="21"/>
        </w:rPr>
        <w:t>中，精密加入甲醇10 mL，密塞，超声提取30 min，冷却至室温，摇匀，过滤膜（0.22 μm，有机相），取滤液，根据实际浓度适当稀释至线性范围内，备用。</w:t>
      </w:r>
    </w:p>
    <w:p>
      <w:pPr>
        <w:spacing w:line="360" w:lineRule="auto"/>
        <w:rPr>
          <w:rFonts w:ascii="Times New Roman" w:hAnsi="Times New Roman" w:eastAsia="宋体" w:cs="Times New Roman"/>
          <w:szCs w:val="21"/>
        </w:rPr>
      </w:pPr>
      <w:r>
        <w:rPr>
          <w:rFonts w:ascii="Times New Roman" w:hAnsi="Times New Roman" w:eastAsia="宋体" w:cs="Times New Roman"/>
          <w:color w:val="000000"/>
          <w:kern w:val="0"/>
          <w:szCs w:val="21"/>
        </w:rPr>
        <w:t>5.1.2液态试样：</w:t>
      </w:r>
      <w:r>
        <w:rPr>
          <w:rFonts w:ascii="Times New Roman" w:hAnsi="Times New Roman" w:eastAsia="宋体" w:cs="Times New Roman"/>
          <w:szCs w:val="21"/>
        </w:rPr>
        <w:t>取适量摇匀，称取液体1 g</w:t>
      </w:r>
      <w:r>
        <w:rPr>
          <w:rFonts w:ascii="Times New Roman" w:hAnsi="Times New Roman" w:eastAsia="宋体" w:cs="Times New Roman"/>
          <w:color w:val="000000"/>
          <w:szCs w:val="21"/>
        </w:rPr>
        <w:t>（精确</w:t>
      </w:r>
      <w:r>
        <w:rPr>
          <w:rFonts w:ascii="Times New Roman" w:hAnsi="Times New Roman" w:eastAsia="宋体" w:cs="Times New Roman"/>
          <w:szCs w:val="21"/>
        </w:rPr>
        <w:t>至0.0001 g）于10 mL容量瓶中，</w:t>
      </w:r>
      <w:r>
        <w:rPr>
          <w:rFonts w:ascii="Times New Roman" w:hAnsi="Times New Roman" w:eastAsia="宋体" w:cs="Times New Roman"/>
          <w:szCs w:val="24"/>
        </w:rPr>
        <w:t>加入</w:t>
      </w:r>
      <w:r>
        <w:rPr>
          <w:rFonts w:ascii="Times New Roman" w:hAnsi="Times New Roman" w:eastAsia="宋体" w:cs="Times New Roman"/>
          <w:szCs w:val="21"/>
        </w:rPr>
        <w:t>甲醇8 mL，超声提取30 min，冷却至室温，用甲醇定容至10mL，过滤膜（0.22 μm，有机相），取滤液，根据实际浓度适当稀释至线性范围内，备用。</w:t>
      </w:r>
    </w:p>
    <w:p>
      <w:pPr>
        <w:spacing w:line="360" w:lineRule="auto"/>
        <w:rPr>
          <w:rFonts w:ascii="Times New Roman" w:hAnsi="Times New Roman" w:eastAsia="宋体" w:cs="Times New Roman"/>
          <w:kern w:val="0"/>
          <w:szCs w:val="20"/>
        </w:rPr>
      </w:pPr>
      <w:r>
        <w:rPr>
          <w:rFonts w:ascii="Times New Roman" w:hAnsi="Times New Roman" w:eastAsia="宋体" w:cs="Times New Roman"/>
          <w:szCs w:val="24"/>
        </w:rPr>
        <w:t>5.1.3</w:t>
      </w:r>
      <w:r>
        <w:rPr>
          <w:rFonts w:ascii="Times New Roman" w:hAnsi="Times New Roman" w:eastAsia="宋体" w:cs="Times New Roman"/>
          <w:kern w:val="0"/>
          <w:szCs w:val="21"/>
        </w:rPr>
        <w:t>空白试验</w:t>
      </w:r>
      <w:r>
        <w:rPr>
          <w:rFonts w:ascii="Times New Roman" w:hAnsi="Times New Roman" w:eastAsia="宋体" w:cs="Times New Roman"/>
          <w:color w:val="000000"/>
          <w:kern w:val="0"/>
          <w:szCs w:val="21"/>
        </w:rPr>
        <w:t>：</w:t>
      </w:r>
      <w:r>
        <w:rPr>
          <w:rFonts w:ascii="Times New Roman" w:hAnsi="Times New Roman" w:eastAsia="宋体" w:cs="Times New Roman"/>
          <w:kern w:val="0"/>
          <w:szCs w:val="20"/>
        </w:rPr>
        <w:t>不加试样按试样同法处理，制得空白溶液，备用。称取与试样等量的空白基质试样，按试样同法处理，制得空白基质试样溶液，备用。</w:t>
      </w:r>
    </w:p>
    <w:p>
      <w:pPr>
        <w:spacing w:line="360" w:lineRule="auto"/>
        <w:rPr>
          <w:rFonts w:ascii="Times New Roman" w:hAnsi="Times New Roman" w:eastAsia="黑体" w:cs="Times New Roman"/>
          <w:szCs w:val="21"/>
        </w:rPr>
      </w:pPr>
      <w:r>
        <w:rPr>
          <w:rFonts w:ascii="Times New Roman" w:hAnsi="Times New Roman" w:cs="Times New Roman" w:eastAsiaTheme="minorEastAsia"/>
          <w:szCs w:val="21"/>
        </w:rPr>
        <w:t>5</w:t>
      </w:r>
      <w:r>
        <w:rPr>
          <w:rFonts w:ascii="Times New Roman" w:hAnsi="Times New Roman" w:cs="Times New Roman"/>
          <w:szCs w:val="21"/>
        </w:rPr>
        <w:t xml:space="preserve">.2 </w:t>
      </w:r>
      <w:r>
        <w:rPr>
          <w:rFonts w:ascii="Times New Roman" w:hAnsi="Times New Roman" w:eastAsia="黑体" w:cs="Times New Roman"/>
          <w:szCs w:val="21"/>
        </w:rPr>
        <w:t>仪器参考条件</w:t>
      </w:r>
    </w:p>
    <w:p>
      <w:pPr>
        <w:spacing w:line="360" w:lineRule="auto"/>
        <w:rPr>
          <w:rFonts w:ascii="Times New Roman" w:hAnsi="Times New Roman" w:eastAsia="宋体" w:cs="Times New Roman"/>
          <w:szCs w:val="21"/>
        </w:rPr>
      </w:pPr>
      <w:r>
        <w:rPr>
          <w:rFonts w:ascii="Times New Roman" w:hAnsi="Times New Roman" w:eastAsia="宋体" w:cs="Times New Roman"/>
          <w:szCs w:val="21"/>
        </w:rPr>
        <w:t>5.2.1色谱条件</w:t>
      </w:r>
    </w:p>
    <w:p>
      <w:pPr>
        <w:spacing w:line="360" w:lineRule="auto"/>
        <w:rPr>
          <w:rFonts w:ascii="Times New Roman" w:hAnsi="Times New Roman" w:eastAsia="宋体" w:cs="Times New Roman"/>
          <w:szCs w:val="21"/>
        </w:rPr>
      </w:pPr>
      <w:r>
        <w:rPr>
          <w:rFonts w:ascii="Times New Roman" w:hAnsi="Times New Roman" w:eastAsia="宋体" w:cs="Times New Roman"/>
          <w:szCs w:val="21"/>
        </w:rPr>
        <w:t>a）色谱柱：C</w:t>
      </w:r>
      <w:r>
        <w:rPr>
          <w:rFonts w:ascii="Times New Roman" w:hAnsi="Times New Roman" w:eastAsia="宋体" w:cs="Times New Roman"/>
          <w:szCs w:val="21"/>
          <w:vertAlign w:val="subscript"/>
        </w:rPr>
        <w:t>18</w:t>
      </w:r>
      <w:r>
        <w:rPr>
          <w:rFonts w:ascii="Times New Roman" w:hAnsi="Times New Roman" w:eastAsia="宋体" w:cs="Times New Roman"/>
          <w:szCs w:val="21"/>
        </w:rPr>
        <w:t>柱</w:t>
      </w:r>
      <w:r>
        <w:rPr>
          <w:rFonts w:hint="eastAsia" w:ascii="Times New Roman" w:hAnsi="Times New Roman" w:eastAsia="宋体" w:cs="Times New Roman"/>
          <w:szCs w:val="21"/>
        </w:rPr>
        <w:t>（</w:t>
      </w:r>
      <w:r>
        <w:rPr>
          <w:rFonts w:ascii="Times New Roman" w:hAnsi="Times New Roman" w:eastAsia="宋体" w:cs="Times New Roman"/>
          <w:szCs w:val="21"/>
        </w:rPr>
        <w:t>2.1×100 mm，2.6 µm</w:t>
      </w:r>
      <w:r>
        <w:rPr>
          <w:rFonts w:hint="eastAsia" w:ascii="Times New Roman" w:hAnsi="Times New Roman" w:eastAsia="宋体" w:cs="Times New Roman"/>
          <w:szCs w:val="21"/>
        </w:rPr>
        <w:t>），</w:t>
      </w:r>
      <w:r>
        <w:rPr>
          <w:rFonts w:ascii="Times New Roman" w:hAnsi="Times New Roman" w:eastAsia="宋体" w:cs="Times New Roman"/>
          <w:szCs w:val="21"/>
        </w:rPr>
        <w:t>或性能相当者。</w:t>
      </w:r>
    </w:p>
    <w:p>
      <w:pPr>
        <w:spacing w:line="360" w:lineRule="auto"/>
        <w:rPr>
          <w:rFonts w:ascii="Times New Roman" w:hAnsi="Times New Roman" w:eastAsia="宋体" w:cs="Times New Roman"/>
          <w:szCs w:val="21"/>
        </w:rPr>
      </w:pPr>
      <w:r>
        <w:rPr>
          <w:rFonts w:ascii="Times New Roman" w:hAnsi="Times New Roman" w:eastAsia="宋体" w:cs="Times New Roman"/>
          <w:szCs w:val="21"/>
        </w:rPr>
        <w:t>b）流动相：A为0.1%甲酸水溶液（3.1.4</w:t>
      </w:r>
      <w:r>
        <w:rPr>
          <w:rFonts w:hint="eastAsia" w:ascii="Times New Roman" w:hAnsi="Times New Roman" w:eastAsia="宋体" w:cs="Times New Roman"/>
          <w:szCs w:val="21"/>
        </w:rPr>
        <w:t>）</w:t>
      </w:r>
      <w:r>
        <w:rPr>
          <w:rFonts w:ascii="Times New Roman" w:hAnsi="Times New Roman" w:eastAsia="宋体" w:cs="Times New Roman"/>
          <w:szCs w:val="21"/>
        </w:rPr>
        <w:t>，B为0.1%甲酸乙腈溶液（3.1.5），参考梯度洗脱程序见表1。</w:t>
      </w:r>
    </w:p>
    <w:p>
      <w:pPr>
        <w:spacing w:line="360" w:lineRule="auto"/>
        <w:rPr>
          <w:rFonts w:ascii="Times New Roman" w:hAnsi="Times New Roman" w:eastAsia="宋体" w:cs="Times New Roman"/>
          <w:szCs w:val="21"/>
        </w:rPr>
      </w:pPr>
      <w:r>
        <w:rPr>
          <w:rFonts w:ascii="Times New Roman" w:hAnsi="Times New Roman" w:eastAsia="宋体" w:cs="Times New Roman"/>
          <w:szCs w:val="21"/>
        </w:rPr>
        <w:t>c）流速：300</w:t>
      </w:r>
      <w:r>
        <w:rPr>
          <w:rFonts w:hint="eastAsia" w:ascii="Times New Roman" w:hAnsi="Times New Roman" w:eastAsia="宋体" w:cs="Times New Roman"/>
          <w:szCs w:val="21"/>
        </w:rPr>
        <w:t xml:space="preserve"> </w:t>
      </w:r>
      <w:r>
        <w:rPr>
          <w:rFonts w:ascii="Times New Roman" w:hAnsi="Times New Roman" w:eastAsia="宋体" w:cs="Times New Roman"/>
          <w:szCs w:val="21"/>
        </w:rPr>
        <w:t>μL/min。</w:t>
      </w:r>
    </w:p>
    <w:p>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d) 柱温：40 </w:t>
      </w:r>
      <w:r>
        <w:rPr>
          <w:rFonts w:hint="eastAsia" w:ascii="宋体" w:hAnsi="宋体" w:eastAsia="宋体" w:cs="宋体"/>
          <w:szCs w:val="21"/>
        </w:rPr>
        <w:t>℃</w:t>
      </w:r>
      <w:r>
        <w:rPr>
          <w:rFonts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e) 进样量：5 μL。</w:t>
      </w:r>
    </w:p>
    <w:p>
      <w:pPr>
        <w:spacing w:line="360" w:lineRule="auto"/>
        <w:jc w:val="center"/>
        <w:rPr>
          <w:rFonts w:ascii="Times New Roman" w:hAnsi="Times New Roman" w:eastAsia="黑体" w:cs="Times New Roman"/>
          <w:szCs w:val="21"/>
        </w:rPr>
      </w:pPr>
    </w:p>
    <w:p>
      <w:pPr>
        <w:spacing w:line="360" w:lineRule="auto"/>
        <w:jc w:val="center"/>
        <w:rPr>
          <w:rFonts w:ascii="Times New Roman" w:hAnsi="Times New Roman" w:eastAsia="黑体" w:cs="Times New Roman"/>
          <w:szCs w:val="21"/>
        </w:rPr>
      </w:pPr>
    </w:p>
    <w:p>
      <w:pPr>
        <w:spacing w:line="360" w:lineRule="auto"/>
        <w:jc w:val="center"/>
        <w:rPr>
          <w:rFonts w:ascii="Times New Roman" w:hAnsi="Times New Roman" w:eastAsia="黑体" w:cs="Times New Roman"/>
          <w:szCs w:val="21"/>
        </w:rPr>
      </w:pPr>
    </w:p>
    <w:p>
      <w:pPr>
        <w:spacing w:line="360" w:lineRule="auto"/>
        <w:jc w:val="center"/>
        <w:rPr>
          <w:rFonts w:ascii="Times New Roman" w:hAnsi="Times New Roman" w:eastAsia="黑体" w:cs="Times New Roman"/>
          <w:szCs w:val="21"/>
        </w:rPr>
      </w:pPr>
    </w:p>
    <w:p>
      <w:pPr>
        <w:spacing w:line="360" w:lineRule="auto"/>
        <w:jc w:val="center"/>
        <w:rPr>
          <w:rFonts w:ascii="Times New Roman" w:hAnsi="Times New Roman" w:eastAsia="黑体" w:cs="Times New Roman"/>
          <w:szCs w:val="21"/>
        </w:rPr>
      </w:pPr>
    </w:p>
    <w:p>
      <w:pPr>
        <w:spacing w:line="360" w:lineRule="auto"/>
        <w:jc w:val="center"/>
        <w:rPr>
          <w:rFonts w:ascii="Times New Roman" w:hAnsi="Times New Roman" w:eastAsia="黑体" w:cs="Times New Roman"/>
          <w:szCs w:val="21"/>
        </w:rPr>
      </w:pPr>
    </w:p>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表1 参考梯度洗脱程序表</w:t>
      </w:r>
    </w:p>
    <w:tbl>
      <w:tblPr>
        <w:tblStyle w:val="3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2840"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梯度时间/min</w:t>
            </w:r>
          </w:p>
        </w:tc>
        <w:tc>
          <w:tcPr>
            <w:tcW w:w="2841"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流动相A（%）</w:t>
            </w:r>
          </w:p>
        </w:tc>
        <w:tc>
          <w:tcPr>
            <w:tcW w:w="2841"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流动相B（%）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snapToGrid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2841"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90</w:t>
            </w:r>
          </w:p>
        </w:tc>
        <w:tc>
          <w:tcPr>
            <w:tcW w:w="2841"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snapToGrid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2841"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90</w:t>
            </w:r>
          </w:p>
        </w:tc>
        <w:tc>
          <w:tcPr>
            <w:tcW w:w="2841"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snapToGrid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7.00</w:t>
            </w:r>
          </w:p>
        </w:tc>
        <w:tc>
          <w:tcPr>
            <w:tcW w:w="2841"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2841"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snapToGrid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11.00</w:t>
            </w:r>
          </w:p>
        </w:tc>
        <w:tc>
          <w:tcPr>
            <w:tcW w:w="2841"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2841"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snapToGrid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11.50</w:t>
            </w:r>
          </w:p>
        </w:tc>
        <w:tc>
          <w:tcPr>
            <w:tcW w:w="2841"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90</w:t>
            </w:r>
          </w:p>
        </w:tc>
        <w:tc>
          <w:tcPr>
            <w:tcW w:w="2841"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snapToGrid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15.00</w:t>
            </w:r>
          </w:p>
        </w:tc>
        <w:tc>
          <w:tcPr>
            <w:tcW w:w="2841"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90</w:t>
            </w:r>
          </w:p>
        </w:tc>
        <w:tc>
          <w:tcPr>
            <w:tcW w:w="2841"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r>
    </w:tbl>
    <w:p>
      <w:pPr>
        <w:spacing w:line="360" w:lineRule="auto"/>
        <w:rPr>
          <w:rFonts w:ascii="Times New Roman" w:hAnsi="Times New Roman" w:eastAsia="宋体" w:cs="Times New Roman"/>
          <w:sz w:val="18"/>
          <w:szCs w:val="18"/>
        </w:rPr>
      </w:pPr>
      <w:r>
        <w:rPr>
          <w:rFonts w:hint="eastAsia" w:ascii="Times New Roman" w:hAnsi="Times New Roman" w:eastAsia="宋体" w:cs="Times New Roman"/>
          <w:sz w:val="18"/>
          <w:szCs w:val="18"/>
        </w:rPr>
        <w:t>注：在有共流出成分影响目标化合物检测时，可以适当调节流动相比例，使尽可能与干扰成分分离，减少干扰。</w:t>
      </w:r>
    </w:p>
    <w:p>
      <w:pPr>
        <w:spacing w:line="360" w:lineRule="auto"/>
        <w:rPr>
          <w:rFonts w:ascii="Times New Roman" w:hAnsi="Times New Roman" w:eastAsia="宋体" w:cs="Times New Roman"/>
          <w:szCs w:val="21"/>
        </w:rPr>
      </w:pPr>
      <w:r>
        <w:rPr>
          <w:rFonts w:ascii="Times New Roman" w:hAnsi="Times New Roman" w:eastAsia="宋体" w:cs="Times New Roman"/>
          <w:szCs w:val="21"/>
        </w:rPr>
        <w:t>5.2.2</w:t>
      </w:r>
      <w:r>
        <w:rPr>
          <w:rFonts w:hint="eastAsia" w:ascii="Times New Roman" w:hAnsi="Times New Roman" w:eastAsia="宋体" w:cs="Times New Roman"/>
          <w:szCs w:val="21"/>
        </w:rPr>
        <w:t>质谱条件</w:t>
      </w:r>
    </w:p>
    <w:p>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a）电离方式：电喷雾正离子模式。 </w:t>
      </w:r>
    </w:p>
    <w:p>
      <w:pPr>
        <w:spacing w:line="360" w:lineRule="auto"/>
        <w:rPr>
          <w:rFonts w:ascii="Times New Roman" w:hAnsi="Times New Roman" w:eastAsia="宋体" w:cs="Times New Roman"/>
          <w:szCs w:val="21"/>
        </w:rPr>
      </w:pPr>
      <w:r>
        <w:rPr>
          <w:rFonts w:ascii="Times New Roman" w:hAnsi="Times New Roman" w:eastAsia="宋体" w:cs="Times New Roman"/>
          <w:szCs w:val="21"/>
        </w:rPr>
        <w:t>b）检测方式：多反应监测</w:t>
      </w:r>
      <w:r>
        <w:rPr>
          <w:rFonts w:hint="eastAsia" w:ascii="Times New Roman" w:hAnsi="Times New Roman" w:eastAsia="宋体" w:cs="Times New Roman"/>
          <w:szCs w:val="21"/>
        </w:rPr>
        <w:t>（</w:t>
      </w:r>
      <w:r>
        <w:rPr>
          <w:rFonts w:ascii="Times New Roman" w:hAnsi="Times New Roman" w:eastAsia="宋体" w:cs="Times New Roman"/>
          <w:szCs w:val="21"/>
        </w:rPr>
        <w:t>MRM</w:t>
      </w:r>
      <w:r>
        <w:rPr>
          <w:rFonts w:hint="eastAsia" w:ascii="Times New Roman" w:hAnsi="Times New Roman" w:eastAsia="宋体" w:cs="Times New Roman"/>
          <w:szCs w:val="21"/>
        </w:rPr>
        <w:t>）</w:t>
      </w:r>
      <w:r>
        <w:rPr>
          <w:rFonts w:ascii="Times New Roman" w:hAnsi="Times New Roman" w:eastAsia="宋体" w:cs="Times New Roman"/>
          <w:szCs w:val="21"/>
        </w:rPr>
        <w:t>。</w:t>
      </w:r>
    </w:p>
    <w:p>
      <w:pPr>
        <w:spacing w:line="360" w:lineRule="auto"/>
        <w:rPr>
          <w:rFonts w:ascii="Times New Roman" w:hAnsi="Times New Roman" w:eastAsia="宋体" w:cs="Times New Roman"/>
          <w:szCs w:val="21"/>
          <w:lang w:val="zh-CN"/>
        </w:rPr>
      </w:pPr>
      <w:r>
        <w:rPr>
          <w:rFonts w:ascii="Times New Roman" w:hAnsi="Times New Roman" w:eastAsia="宋体" w:cs="Times New Roman"/>
          <w:szCs w:val="21"/>
        </w:rPr>
        <w:t>c）</w:t>
      </w:r>
      <w:r>
        <w:rPr>
          <w:rFonts w:ascii="Times New Roman" w:hAnsi="Times New Roman" w:eastAsia="宋体" w:cs="Times New Roman"/>
          <w:szCs w:val="21"/>
          <w:lang w:val="zh-CN"/>
        </w:rPr>
        <w:t>电喷雾电压：5500</w:t>
      </w:r>
      <w:r>
        <w:rPr>
          <w:rFonts w:ascii="Times New Roman" w:hAnsi="Times New Roman" w:eastAsia="宋体" w:cs="Times New Roman"/>
          <w:szCs w:val="21"/>
        </w:rPr>
        <w:t xml:space="preserve"> </w:t>
      </w:r>
      <w:r>
        <w:rPr>
          <w:rFonts w:ascii="Times New Roman" w:hAnsi="Times New Roman" w:eastAsia="宋体" w:cs="Times New Roman"/>
          <w:szCs w:val="21"/>
          <w:lang w:val="zh-CN"/>
        </w:rPr>
        <w:t>V。</w:t>
      </w:r>
    </w:p>
    <w:p>
      <w:pPr>
        <w:spacing w:line="360" w:lineRule="auto"/>
        <w:rPr>
          <w:rFonts w:ascii="Times New Roman" w:hAnsi="Times New Roman" w:eastAsia="宋体" w:cs="Times New Roman"/>
          <w:szCs w:val="21"/>
          <w:lang w:val="zh-CN"/>
        </w:rPr>
      </w:pPr>
      <w:r>
        <w:rPr>
          <w:rFonts w:ascii="Times New Roman" w:hAnsi="Times New Roman" w:eastAsia="宋体" w:cs="Times New Roman"/>
          <w:szCs w:val="21"/>
        </w:rPr>
        <w:t>d）</w:t>
      </w:r>
      <w:r>
        <w:rPr>
          <w:rFonts w:ascii="Times New Roman" w:hAnsi="Times New Roman" w:eastAsia="宋体" w:cs="Times New Roman"/>
          <w:szCs w:val="21"/>
          <w:lang w:val="zh-CN"/>
        </w:rPr>
        <w:t>离子源温度：550</w:t>
      </w:r>
      <w:r>
        <w:rPr>
          <w:rFonts w:ascii="Times New Roman" w:hAnsi="Times New Roman" w:eastAsia="宋体" w:cs="Times New Roman"/>
          <w:szCs w:val="21"/>
        </w:rPr>
        <w:t xml:space="preserve"> </w:t>
      </w:r>
      <w:r>
        <w:rPr>
          <w:rFonts w:hint="eastAsia" w:ascii="宋体" w:hAnsi="宋体" w:eastAsia="宋体" w:cs="宋体"/>
          <w:szCs w:val="21"/>
          <w:lang w:val="zh-CN"/>
        </w:rPr>
        <w:t>℃</w:t>
      </w:r>
      <w:r>
        <w:rPr>
          <w:rFonts w:ascii="Times New Roman" w:hAnsi="Times New Roman" w:eastAsia="宋体" w:cs="Times New Roman"/>
          <w:szCs w:val="21"/>
          <w:lang w:val="zh-CN"/>
        </w:rPr>
        <w:t>。</w:t>
      </w:r>
    </w:p>
    <w:p>
      <w:pPr>
        <w:spacing w:line="360" w:lineRule="auto"/>
        <w:rPr>
          <w:rFonts w:ascii="Times New Roman" w:hAnsi="Times New Roman" w:eastAsia="宋体" w:cs="Times New Roman"/>
          <w:szCs w:val="21"/>
          <w:lang w:val="zh-CN"/>
        </w:rPr>
      </w:pPr>
      <w:r>
        <w:rPr>
          <w:rFonts w:ascii="Times New Roman" w:hAnsi="Times New Roman" w:eastAsia="宋体" w:cs="Times New Roman"/>
          <w:szCs w:val="21"/>
        </w:rPr>
        <w:t>e）</w:t>
      </w:r>
      <w:r>
        <w:rPr>
          <w:rFonts w:ascii="Times New Roman" w:hAnsi="Times New Roman" w:eastAsia="宋体" w:cs="Times New Roman"/>
          <w:szCs w:val="21"/>
          <w:lang w:val="zh-CN"/>
        </w:rPr>
        <w:t>雾化气压力：55</w:t>
      </w:r>
      <w:r>
        <w:rPr>
          <w:rFonts w:ascii="Times New Roman" w:hAnsi="Times New Roman" w:eastAsia="宋体" w:cs="Times New Roman"/>
          <w:szCs w:val="21"/>
        </w:rPr>
        <w:t xml:space="preserve"> </w:t>
      </w:r>
      <w:r>
        <w:rPr>
          <w:rFonts w:ascii="Times New Roman" w:hAnsi="Times New Roman" w:eastAsia="宋体" w:cs="Times New Roman"/>
          <w:szCs w:val="21"/>
          <w:lang w:val="zh-CN"/>
        </w:rPr>
        <w:t>psi。</w:t>
      </w:r>
    </w:p>
    <w:p>
      <w:pPr>
        <w:spacing w:line="360" w:lineRule="auto"/>
        <w:rPr>
          <w:rFonts w:ascii="Times New Roman" w:hAnsi="Times New Roman" w:eastAsia="宋体" w:cs="Times New Roman"/>
          <w:szCs w:val="21"/>
          <w:lang w:val="zh-CN"/>
        </w:rPr>
      </w:pPr>
      <w:r>
        <w:rPr>
          <w:rFonts w:ascii="Times New Roman" w:hAnsi="Times New Roman" w:eastAsia="宋体" w:cs="Times New Roman"/>
          <w:szCs w:val="21"/>
        </w:rPr>
        <w:t>f）</w:t>
      </w:r>
      <w:r>
        <w:rPr>
          <w:rFonts w:ascii="Times New Roman" w:hAnsi="Times New Roman" w:eastAsia="宋体" w:cs="Times New Roman"/>
          <w:szCs w:val="21"/>
          <w:lang w:val="zh-CN"/>
        </w:rPr>
        <w:t>气帘气压力：35</w:t>
      </w:r>
      <w:r>
        <w:rPr>
          <w:rFonts w:ascii="Times New Roman" w:hAnsi="Times New Roman" w:eastAsia="宋体" w:cs="Times New Roman"/>
          <w:szCs w:val="21"/>
        </w:rPr>
        <w:t xml:space="preserve"> </w:t>
      </w:r>
      <w:r>
        <w:rPr>
          <w:rFonts w:ascii="Times New Roman" w:hAnsi="Times New Roman" w:eastAsia="宋体" w:cs="Times New Roman"/>
          <w:szCs w:val="21"/>
          <w:lang w:val="zh-CN"/>
        </w:rPr>
        <w:t>psi。</w:t>
      </w:r>
    </w:p>
    <w:p>
      <w:pPr>
        <w:spacing w:line="360" w:lineRule="auto"/>
        <w:rPr>
          <w:rFonts w:ascii="Times New Roman" w:hAnsi="Times New Roman" w:eastAsia="宋体" w:cs="Times New Roman"/>
          <w:szCs w:val="21"/>
          <w:lang w:val="zh-CN"/>
        </w:rPr>
      </w:pPr>
      <w:r>
        <w:rPr>
          <w:rFonts w:ascii="Times New Roman" w:hAnsi="Times New Roman" w:eastAsia="宋体" w:cs="Times New Roman"/>
          <w:szCs w:val="21"/>
        </w:rPr>
        <w:t>g）</w:t>
      </w:r>
      <w:r>
        <w:rPr>
          <w:rFonts w:ascii="Times New Roman" w:hAnsi="Times New Roman" w:eastAsia="宋体" w:cs="Times New Roman"/>
          <w:szCs w:val="21"/>
          <w:lang w:val="zh-CN"/>
        </w:rPr>
        <w:t>辅助气体压力：55</w:t>
      </w:r>
      <w:r>
        <w:rPr>
          <w:rFonts w:ascii="Times New Roman" w:hAnsi="Times New Roman" w:eastAsia="宋体" w:cs="Times New Roman"/>
          <w:szCs w:val="21"/>
        </w:rPr>
        <w:t xml:space="preserve"> </w:t>
      </w:r>
      <w:r>
        <w:rPr>
          <w:rFonts w:ascii="Times New Roman" w:hAnsi="Times New Roman" w:eastAsia="宋体" w:cs="Times New Roman"/>
          <w:szCs w:val="21"/>
          <w:lang w:val="zh-CN"/>
        </w:rPr>
        <w:t>psi。</w:t>
      </w:r>
    </w:p>
    <w:p>
      <w:pPr>
        <w:spacing w:line="360" w:lineRule="auto"/>
        <w:rPr>
          <w:rFonts w:ascii="Times New Roman" w:hAnsi="Times New Roman" w:eastAsia="宋体" w:cs="Times New Roman"/>
          <w:kern w:val="0"/>
          <w:szCs w:val="21"/>
        </w:rPr>
      </w:pPr>
      <w:r>
        <w:rPr>
          <w:rFonts w:ascii="Times New Roman" w:hAnsi="Times New Roman" w:eastAsia="宋体" w:cs="Times New Roman"/>
          <w:szCs w:val="21"/>
        </w:rPr>
        <w:t>h）定性离子对、定量离子对及其他质谱参数见表2</w:t>
      </w:r>
      <w:r>
        <w:rPr>
          <w:rFonts w:hint="eastAsia" w:ascii="Times New Roman" w:hAnsi="Times New Roman" w:eastAsia="宋体" w:cs="Times New Roman"/>
          <w:szCs w:val="21"/>
        </w:rPr>
        <w:t>。</w:t>
      </w:r>
    </w:p>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表2  5种α-受体阻断类药物离子选择参数表</w:t>
      </w:r>
    </w:p>
    <w:tbl>
      <w:tblPr>
        <w:tblStyle w:val="30"/>
        <w:tblW w:w="7569" w:type="dxa"/>
        <w:jc w:val="center"/>
        <w:tblInd w:w="0" w:type="dxa"/>
        <w:tblLayout w:type="fixed"/>
        <w:tblCellMar>
          <w:top w:w="0" w:type="dxa"/>
          <w:left w:w="108" w:type="dxa"/>
          <w:bottom w:w="0" w:type="dxa"/>
          <w:right w:w="108" w:type="dxa"/>
        </w:tblCellMar>
      </w:tblPr>
      <w:tblGrid>
        <w:gridCol w:w="696"/>
        <w:gridCol w:w="1316"/>
        <w:gridCol w:w="1435"/>
        <w:gridCol w:w="1117"/>
        <w:gridCol w:w="1461"/>
        <w:gridCol w:w="1544"/>
      </w:tblGrid>
      <w:tr>
        <w:tblPrEx>
          <w:tblLayout w:type="fixed"/>
          <w:tblCellMar>
            <w:top w:w="0" w:type="dxa"/>
            <w:left w:w="108" w:type="dxa"/>
            <w:bottom w:w="0" w:type="dxa"/>
            <w:right w:w="108" w:type="dxa"/>
          </w:tblCellMar>
        </w:tblPrEx>
        <w:trPr>
          <w:trHeight w:val="452" w:hRule="atLeast"/>
          <w:tblHeader/>
          <w:jc w:val="center"/>
        </w:trPr>
        <w:tc>
          <w:tcPr>
            <w:tcW w:w="6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序号</w:t>
            </w:r>
          </w:p>
        </w:tc>
        <w:tc>
          <w:tcPr>
            <w:tcW w:w="13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化合物名称</w:t>
            </w:r>
          </w:p>
        </w:tc>
        <w:tc>
          <w:tcPr>
            <w:tcW w:w="143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母离子    </w:t>
            </w:r>
            <w:r>
              <w:rPr>
                <w:rFonts w:hint="eastAsia" w:ascii="Times New Roman" w:hAnsi="Times New Roman" w:eastAsia="宋体" w:cs="Times New Roman"/>
                <w:iCs/>
                <w:color w:val="000000"/>
                <w:kern w:val="0"/>
                <w:sz w:val="18"/>
                <w:szCs w:val="18"/>
              </w:rPr>
              <w:t>（</w:t>
            </w:r>
            <w:r>
              <w:rPr>
                <w:rFonts w:ascii="Times New Roman" w:hAnsi="Times New Roman" w:eastAsia="宋体" w:cs="Times New Roman"/>
                <w:i/>
                <w:color w:val="000000"/>
                <w:kern w:val="0"/>
                <w:sz w:val="18"/>
                <w:szCs w:val="18"/>
              </w:rPr>
              <w:t>m/z</w:t>
            </w:r>
            <w:r>
              <w:rPr>
                <w:rFonts w:hint="eastAsia" w:ascii="Times New Roman" w:hAnsi="Times New Roman" w:eastAsia="宋体" w:cs="Times New Roman"/>
                <w:iCs/>
                <w:color w:val="000000"/>
                <w:kern w:val="0"/>
                <w:sz w:val="18"/>
                <w:szCs w:val="18"/>
              </w:rPr>
              <w:t>）</w:t>
            </w:r>
          </w:p>
        </w:tc>
        <w:tc>
          <w:tcPr>
            <w:tcW w:w="11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子离子 </w:t>
            </w:r>
            <w:r>
              <w:rPr>
                <w:rFonts w:hint="eastAsia" w:ascii="Times New Roman" w:hAnsi="Times New Roman" w:eastAsia="宋体" w:cs="Times New Roman"/>
                <w:iCs/>
                <w:color w:val="000000"/>
                <w:kern w:val="0"/>
                <w:sz w:val="18"/>
                <w:szCs w:val="18"/>
              </w:rPr>
              <w:t>（</w:t>
            </w:r>
            <w:r>
              <w:rPr>
                <w:rFonts w:ascii="Times New Roman" w:hAnsi="Times New Roman" w:eastAsia="宋体" w:cs="Times New Roman"/>
                <w:i/>
                <w:color w:val="000000"/>
                <w:kern w:val="0"/>
                <w:sz w:val="18"/>
                <w:szCs w:val="18"/>
              </w:rPr>
              <w:t>m/z</w:t>
            </w:r>
            <w:r>
              <w:rPr>
                <w:rFonts w:hint="eastAsia" w:ascii="Times New Roman" w:hAnsi="Times New Roman" w:eastAsia="宋体" w:cs="Times New Roman"/>
                <w:iCs/>
                <w:color w:val="000000"/>
                <w:kern w:val="0"/>
                <w:sz w:val="18"/>
                <w:szCs w:val="18"/>
              </w:rPr>
              <w:t>）</w:t>
            </w:r>
          </w:p>
        </w:tc>
        <w:tc>
          <w:tcPr>
            <w:tcW w:w="14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碰撞能量</w:t>
            </w:r>
            <w:r>
              <w:rPr>
                <w:rFonts w:hint="eastAsia" w:ascii="Times New Roman" w:hAnsi="Times New Roman" w:eastAsia="宋体" w:cs="Times New Roman"/>
                <w:iCs/>
                <w:color w:val="000000"/>
                <w:kern w:val="0"/>
                <w:sz w:val="18"/>
                <w:szCs w:val="18"/>
              </w:rPr>
              <w:t>（</w:t>
            </w:r>
            <w:r>
              <w:rPr>
                <w:rFonts w:ascii="Times New Roman" w:hAnsi="Times New Roman" w:eastAsia="宋体" w:cs="Times New Roman"/>
                <w:iCs/>
                <w:color w:val="000000"/>
                <w:kern w:val="0"/>
                <w:sz w:val="18"/>
                <w:szCs w:val="18"/>
              </w:rPr>
              <w:t>e</w:t>
            </w:r>
            <w:r>
              <w:rPr>
                <w:rFonts w:ascii="Times New Roman" w:hAnsi="Times New Roman" w:eastAsia="宋体" w:cs="Times New Roman"/>
                <w:i/>
                <w:color w:val="000000"/>
                <w:kern w:val="0"/>
                <w:sz w:val="18"/>
                <w:szCs w:val="18"/>
              </w:rPr>
              <w:t>V</w:t>
            </w:r>
            <w:r>
              <w:rPr>
                <w:rFonts w:hint="eastAsia" w:ascii="Times New Roman" w:hAnsi="Times New Roman" w:eastAsia="宋体" w:cs="Times New Roman"/>
                <w:iCs/>
                <w:color w:val="000000"/>
                <w:kern w:val="0"/>
                <w:sz w:val="18"/>
                <w:szCs w:val="18"/>
              </w:rPr>
              <w:t>）</w:t>
            </w:r>
          </w:p>
        </w:tc>
        <w:tc>
          <w:tcPr>
            <w:tcW w:w="1544"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去簇电压</w:t>
            </w:r>
            <w:r>
              <w:rPr>
                <w:rFonts w:ascii="Times New Roman" w:hAnsi="Times New Roman" w:eastAsia="宋体" w:cs="Times New Roman"/>
                <w:iCs/>
                <w:color w:val="000000"/>
                <w:kern w:val="0"/>
                <w:sz w:val="18"/>
                <w:szCs w:val="18"/>
              </w:rPr>
              <w:t>（</w:t>
            </w:r>
            <w:r>
              <w:rPr>
                <w:rFonts w:ascii="Times New Roman" w:hAnsi="Times New Roman" w:eastAsia="宋体" w:cs="Times New Roman"/>
                <w:i/>
                <w:color w:val="000000"/>
                <w:kern w:val="0"/>
                <w:sz w:val="18"/>
                <w:szCs w:val="18"/>
              </w:rPr>
              <w:t>V</w:t>
            </w:r>
            <w:r>
              <w:rPr>
                <w:rFonts w:ascii="Times New Roman" w:hAnsi="Times New Roman" w:eastAsia="宋体" w:cs="Times New Roman"/>
                <w:iCs/>
                <w:color w:val="000000"/>
                <w:kern w:val="0"/>
                <w:sz w:val="18"/>
                <w:szCs w:val="18"/>
              </w:rPr>
              <w:t>）</w:t>
            </w:r>
          </w:p>
        </w:tc>
      </w:tr>
      <w:tr>
        <w:tblPrEx>
          <w:tblLayout w:type="fixed"/>
          <w:tblCellMar>
            <w:top w:w="0" w:type="dxa"/>
            <w:left w:w="108" w:type="dxa"/>
            <w:bottom w:w="0" w:type="dxa"/>
            <w:right w:w="108" w:type="dxa"/>
          </w:tblCellMar>
        </w:tblPrEx>
        <w:trPr>
          <w:trHeight w:val="239" w:hRule="atLeast"/>
          <w:tblHeader/>
          <w:jc w:val="center"/>
        </w:trPr>
        <w:tc>
          <w:tcPr>
            <w:tcW w:w="69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p>
        </w:tc>
        <w:tc>
          <w:tcPr>
            <w:tcW w:w="131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酚妥拉明</w:t>
            </w:r>
          </w:p>
        </w:tc>
        <w:tc>
          <w:tcPr>
            <w:tcW w:w="1435"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282.1</w:t>
            </w:r>
          </w:p>
        </w:tc>
        <w:tc>
          <w:tcPr>
            <w:tcW w:w="1117"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91.0*</w:t>
            </w:r>
          </w:p>
        </w:tc>
        <w:tc>
          <w:tcPr>
            <w:tcW w:w="14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41</w:t>
            </w:r>
          </w:p>
        </w:tc>
        <w:tc>
          <w:tcPr>
            <w:tcW w:w="1544" w:type="dxa"/>
            <w:vMerge w:val="restart"/>
            <w:tcBorders>
              <w:top w:val="single" w:color="auto" w:sz="4" w:space="0"/>
              <w:left w:val="nil"/>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100</w:t>
            </w:r>
          </w:p>
        </w:tc>
      </w:tr>
      <w:tr>
        <w:tblPrEx>
          <w:tblLayout w:type="fixed"/>
          <w:tblCellMar>
            <w:top w:w="0" w:type="dxa"/>
            <w:left w:w="108" w:type="dxa"/>
            <w:bottom w:w="0" w:type="dxa"/>
            <w:right w:w="108" w:type="dxa"/>
          </w:tblCellMar>
        </w:tblPrEx>
        <w:trPr>
          <w:trHeight w:val="239" w:hRule="atLeast"/>
          <w:tblHeader/>
          <w:jc w:val="center"/>
        </w:trPr>
        <w:tc>
          <w:tcPr>
            <w:tcW w:w="69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c>
          <w:tcPr>
            <w:tcW w:w="131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c>
          <w:tcPr>
            <w:tcW w:w="143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c>
          <w:tcPr>
            <w:tcW w:w="1117"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212.0</w:t>
            </w:r>
          </w:p>
        </w:tc>
        <w:tc>
          <w:tcPr>
            <w:tcW w:w="14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12</w:t>
            </w:r>
          </w:p>
        </w:tc>
        <w:tc>
          <w:tcPr>
            <w:tcW w:w="1544" w:type="dxa"/>
            <w:vMerge w:val="continue"/>
            <w:tcBorders>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r>
      <w:tr>
        <w:tblPrEx>
          <w:tblLayout w:type="fixed"/>
          <w:tblCellMar>
            <w:top w:w="0" w:type="dxa"/>
            <w:left w:w="108" w:type="dxa"/>
            <w:bottom w:w="0" w:type="dxa"/>
            <w:right w:w="108" w:type="dxa"/>
          </w:tblCellMar>
        </w:tblPrEx>
        <w:trPr>
          <w:trHeight w:val="239" w:hRule="atLeast"/>
          <w:tblHeader/>
          <w:jc w:val="center"/>
        </w:trPr>
        <w:tc>
          <w:tcPr>
            <w:tcW w:w="69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w:t>
            </w:r>
          </w:p>
        </w:tc>
        <w:tc>
          <w:tcPr>
            <w:tcW w:w="131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哌唑嗪</w:t>
            </w:r>
          </w:p>
        </w:tc>
        <w:tc>
          <w:tcPr>
            <w:tcW w:w="1435"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384.2</w:t>
            </w:r>
          </w:p>
        </w:tc>
        <w:tc>
          <w:tcPr>
            <w:tcW w:w="1117"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247.0*</w:t>
            </w:r>
          </w:p>
        </w:tc>
        <w:tc>
          <w:tcPr>
            <w:tcW w:w="14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38</w:t>
            </w:r>
          </w:p>
        </w:tc>
        <w:tc>
          <w:tcPr>
            <w:tcW w:w="1544" w:type="dxa"/>
            <w:vMerge w:val="restart"/>
            <w:tcBorders>
              <w:top w:val="single" w:color="auto" w:sz="4" w:space="0"/>
              <w:left w:val="nil"/>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70</w:t>
            </w:r>
          </w:p>
        </w:tc>
      </w:tr>
      <w:tr>
        <w:tblPrEx>
          <w:tblLayout w:type="fixed"/>
          <w:tblCellMar>
            <w:top w:w="0" w:type="dxa"/>
            <w:left w:w="108" w:type="dxa"/>
            <w:bottom w:w="0" w:type="dxa"/>
            <w:right w:w="108" w:type="dxa"/>
          </w:tblCellMar>
        </w:tblPrEx>
        <w:trPr>
          <w:trHeight w:val="239" w:hRule="atLeast"/>
          <w:tblHeader/>
          <w:jc w:val="center"/>
        </w:trPr>
        <w:tc>
          <w:tcPr>
            <w:tcW w:w="69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c>
          <w:tcPr>
            <w:tcW w:w="131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c>
          <w:tcPr>
            <w:tcW w:w="143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c>
          <w:tcPr>
            <w:tcW w:w="1117"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366.2</w:t>
            </w:r>
          </w:p>
        </w:tc>
        <w:tc>
          <w:tcPr>
            <w:tcW w:w="14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35</w:t>
            </w:r>
          </w:p>
        </w:tc>
        <w:tc>
          <w:tcPr>
            <w:tcW w:w="1544" w:type="dxa"/>
            <w:vMerge w:val="continue"/>
            <w:tcBorders>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r>
      <w:tr>
        <w:tblPrEx>
          <w:tblLayout w:type="fixed"/>
          <w:tblCellMar>
            <w:top w:w="0" w:type="dxa"/>
            <w:left w:w="108" w:type="dxa"/>
            <w:bottom w:w="0" w:type="dxa"/>
            <w:right w:w="108" w:type="dxa"/>
          </w:tblCellMar>
        </w:tblPrEx>
        <w:trPr>
          <w:trHeight w:val="239" w:hRule="atLeast"/>
          <w:tblHeader/>
          <w:jc w:val="center"/>
        </w:trPr>
        <w:tc>
          <w:tcPr>
            <w:tcW w:w="69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w:t>
            </w:r>
          </w:p>
        </w:tc>
        <w:tc>
          <w:tcPr>
            <w:tcW w:w="131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特拉唑嗪</w:t>
            </w:r>
          </w:p>
        </w:tc>
        <w:tc>
          <w:tcPr>
            <w:tcW w:w="1435"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388.1</w:t>
            </w:r>
          </w:p>
        </w:tc>
        <w:tc>
          <w:tcPr>
            <w:tcW w:w="1117"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247.1*</w:t>
            </w:r>
          </w:p>
        </w:tc>
        <w:tc>
          <w:tcPr>
            <w:tcW w:w="14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41</w:t>
            </w:r>
          </w:p>
        </w:tc>
        <w:tc>
          <w:tcPr>
            <w:tcW w:w="1544" w:type="dxa"/>
            <w:vMerge w:val="restart"/>
            <w:tcBorders>
              <w:top w:val="single" w:color="auto" w:sz="4" w:space="0"/>
              <w:left w:val="nil"/>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120</w:t>
            </w:r>
          </w:p>
        </w:tc>
      </w:tr>
      <w:tr>
        <w:tblPrEx>
          <w:tblLayout w:type="fixed"/>
          <w:tblCellMar>
            <w:top w:w="0" w:type="dxa"/>
            <w:left w:w="108" w:type="dxa"/>
            <w:bottom w:w="0" w:type="dxa"/>
            <w:right w:w="108" w:type="dxa"/>
          </w:tblCellMar>
        </w:tblPrEx>
        <w:trPr>
          <w:trHeight w:val="239" w:hRule="atLeast"/>
          <w:tblHeader/>
          <w:jc w:val="center"/>
        </w:trPr>
        <w:tc>
          <w:tcPr>
            <w:tcW w:w="69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c>
          <w:tcPr>
            <w:tcW w:w="131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c>
          <w:tcPr>
            <w:tcW w:w="143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c>
          <w:tcPr>
            <w:tcW w:w="1117"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290.2</w:t>
            </w:r>
          </w:p>
        </w:tc>
        <w:tc>
          <w:tcPr>
            <w:tcW w:w="14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w:t>
            </w:r>
          </w:p>
        </w:tc>
        <w:tc>
          <w:tcPr>
            <w:tcW w:w="1544" w:type="dxa"/>
            <w:vMerge w:val="continue"/>
            <w:tcBorders>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r>
      <w:tr>
        <w:tblPrEx>
          <w:tblLayout w:type="fixed"/>
          <w:tblCellMar>
            <w:top w:w="0" w:type="dxa"/>
            <w:left w:w="108" w:type="dxa"/>
            <w:bottom w:w="0" w:type="dxa"/>
            <w:right w:w="108" w:type="dxa"/>
          </w:tblCellMar>
        </w:tblPrEx>
        <w:trPr>
          <w:trHeight w:val="239" w:hRule="atLeast"/>
          <w:tblHeader/>
          <w:jc w:val="center"/>
        </w:trPr>
        <w:tc>
          <w:tcPr>
            <w:tcW w:w="696"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w:t>
            </w:r>
          </w:p>
        </w:tc>
        <w:tc>
          <w:tcPr>
            <w:tcW w:w="1316"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育亨宾</w:t>
            </w:r>
          </w:p>
        </w:tc>
        <w:tc>
          <w:tcPr>
            <w:tcW w:w="143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355.2</w:t>
            </w:r>
          </w:p>
        </w:tc>
        <w:tc>
          <w:tcPr>
            <w:tcW w:w="11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144.2*</w:t>
            </w:r>
          </w:p>
        </w:tc>
        <w:tc>
          <w:tcPr>
            <w:tcW w:w="14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28</w:t>
            </w:r>
          </w:p>
        </w:tc>
        <w:tc>
          <w:tcPr>
            <w:tcW w:w="1544" w:type="dxa"/>
            <w:vMerge w:val="restart"/>
            <w:tcBorders>
              <w:top w:val="single" w:color="auto" w:sz="4" w:space="0"/>
              <w:left w:val="nil"/>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120</w:t>
            </w:r>
          </w:p>
        </w:tc>
      </w:tr>
      <w:tr>
        <w:tblPrEx>
          <w:tblLayout w:type="fixed"/>
          <w:tblCellMar>
            <w:top w:w="0" w:type="dxa"/>
            <w:left w:w="108" w:type="dxa"/>
            <w:bottom w:w="0" w:type="dxa"/>
            <w:right w:w="108" w:type="dxa"/>
          </w:tblCellMar>
        </w:tblPrEx>
        <w:trPr>
          <w:trHeight w:val="239" w:hRule="atLeast"/>
          <w:tblHeader/>
          <w:jc w:val="center"/>
        </w:trPr>
        <w:tc>
          <w:tcPr>
            <w:tcW w:w="696"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c>
          <w:tcPr>
            <w:tcW w:w="1316"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c>
          <w:tcPr>
            <w:tcW w:w="143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c>
          <w:tcPr>
            <w:tcW w:w="11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212.0</w:t>
            </w:r>
          </w:p>
        </w:tc>
        <w:tc>
          <w:tcPr>
            <w:tcW w:w="14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w:t>
            </w:r>
          </w:p>
        </w:tc>
        <w:tc>
          <w:tcPr>
            <w:tcW w:w="1544" w:type="dxa"/>
            <w:vMerge w:val="continue"/>
            <w:tcBorders>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r>
      <w:tr>
        <w:tblPrEx>
          <w:tblLayout w:type="fixed"/>
          <w:tblCellMar>
            <w:top w:w="0" w:type="dxa"/>
            <w:left w:w="108" w:type="dxa"/>
            <w:bottom w:w="0" w:type="dxa"/>
            <w:right w:w="108" w:type="dxa"/>
          </w:tblCellMar>
        </w:tblPrEx>
        <w:trPr>
          <w:trHeight w:val="239" w:hRule="atLeast"/>
          <w:tblHeader/>
          <w:jc w:val="center"/>
        </w:trPr>
        <w:tc>
          <w:tcPr>
            <w:tcW w:w="696"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w:t>
            </w:r>
          </w:p>
        </w:tc>
        <w:tc>
          <w:tcPr>
            <w:tcW w:w="1316"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妥拉唑林</w:t>
            </w:r>
          </w:p>
        </w:tc>
        <w:tc>
          <w:tcPr>
            <w:tcW w:w="143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161.2</w:t>
            </w:r>
          </w:p>
        </w:tc>
        <w:tc>
          <w:tcPr>
            <w:tcW w:w="11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65.1*</w:t>
            </w:r>
          </w:p>
        </w:tc>
        <w:tc>
          <w:tcPr>
            <w:tcW w:w="14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44</w:t>
            </w:r>
          </w:p>
        </w:tc>
        <w:tc>
          <w:tcPr>
            <w:tcW w:w="1544" w:type="dxa"/>
            <w:vMerge w:val="restart"/>
            <w:tcBorders>
              <w:top w:val="single" w:color="auto" w:sz="4" w:space="0"/>
              <w:left w:val="nil"/>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120</w:t>
            </w:r>
          </w:p>
        </w:tc>
      </w:tr>
      <w:tr>
        <w:tblPrEx>
          <w:tblLayout w:type="fixed"/>
          <w:tblCellMar>
            <w:top w:w="0" w:type="dxa"/>
            <w:left w:w="108" w:type="dxa"/>
            <w:bottom w:w="0" w:type="dxa"/>
            <w:right w:w="108" w:type="dxa"/>
          </w:tblCellMar>
        </w:tblPrEx>
        <w:trPr>
          <w:trHeight w:val="239" w:hRule="atLeast"/>
          <w:tblHeader/>
          <w:jc w:val="center"/>
        </w:trPr>
        <w:tc>
          <w:tcPr>
            <w:tcW w:w="696"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c>
          <w:tcPr>
            <w:tcW w:w="1316"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c>
          <w:tcPr>
            <w:tcW w:w="143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c>
          <w:tcPr>
            <w:tcW w:w="11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90.5</w:t>
            </w:r>
          </w:p>
        </w:tc>
        <w:tc>
          <w:tcPr>
            <w:tcW w:w="14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40</w:t>
            </w:r>
          </w:p>
        </w:tc>
        <w:tc>
          <w:tcPr>
            <w:tcW w:w="1544" w:type="dxa"/>
            <w:vMerge w:val="continue"/>
            <w:tcBorders>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 w:val="18"/>
                <w:szCs w:val="18"/>
              </w:rPr>
            </w:pPr>
          </w:p>
        </w:tc>
      </w:tr>
    </w:tbl>
    <w:p>
      <w:pPr>
        <w:spacing w:line="360" w:lineRule="auto"/>
        <w:rPr>
          <w:rFonts w:ascii="Times New Roman" w:hAnsi="Times New Roman" w:cs="Times New Roman"/>
          <w:szCs w:val="21"/>
        </w:rPr>
      </w:pPr>
      <w:r>
        <w:rPr>
          <w:rFonts w:ascii="Times New Roman" w:hAnsi="Times New Roman" w:eastAsia="宋体" w:cs="Times New Roman"/>
          <w:kern w:val="24"/>
          <w:sz w:val="18"/>
          <w:szCs w:val="18"/>
          <w:vertAlign w:val="superscript"/>
        </w:rPr>
        <w:t xml:space="preserve">* </w:t>
      </w:r>
      <w:r>
        <w:rPr>
          <w:rFonts w:hint="eastAsia" w:ascii="Times New Roman" w:hAnsi="Times New Roman" w:eastAsia="宋体" w:cs="Times New Roman"/>
          <w:kern w:val="24"/>
          <w:sz w:val="18"/>
          <w:szCs w:val="18"/>
        </w:rPr>
        <w:t>为</w:t>
      </w:r>
      <w:r>
        <w:rPr>
          <w:rFonts w:ascii="Times New Roman" w:hAnsi="Times New Roman" w:eastAsia="宋体" w:cs="Times New Roman"/>
          <w:sz w:val="18"/>
          <w:szCs w:val="18"/>
        </w:rPr>
        <w:t>定量离子；方法提供的监测离子对等测定条件为推荐条件，各实验室可根据所配置仪器的具体情况作适当调整；在样品基质有测定干扰的情况下，可选用其他监测离子对。</w:t>
      </w:r>
    </w:p>
    <w:p>
      <w:pPr>
        <w:spacing w:line="360" w:lineRule="auto"/>
        <w:rPr>
          <w:rFonts w:ascii="Times New Roman" w:hAnsi="Times New Roman" w:eastAsia="黑体" w:cs="Times New Roman"/>
          <w:szCs w:val="21"/>
        </w:rPr>
      </w:pPr>
      <w:r>
        <w:rPr>
          <w:rFonts w:ascii="Times New Roman" w:hAnsi="Times New Roman" w:eastAsia="黑体" w:cs="Times New Roman"/>
          <w:szCs w:val="21"/>
        </w:rPr>
        <w:t>5.3 定性</w:t>
      </w:r>
      <w:r>
        <w:rPr>
          <w:rFonts w:hint="eastAsia" w:ascii="Times New Roman" w:hAnsi="Times New Roman" w:eastAsia="黑体" w:cs="Times New Roman"/>
          <w:szCs w:val="21"/>
        </w:rPr>
        <w:t>测</w:t>
      </w:r>
      <w:r>
        <w:rPr>
          <w:rFonts w:ascii="Times New Roman" w:hAnsi="Times New Roman" w:eastAsia="黑体" w:cs="Times New Roman"/>
          <w:szCs w:val="21"/>
        </w:rPr>
        <w:t>定</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按照高效液相色谱-串联质谱条件测定试样和标准工作溶液，记录试样和标准溶液中各化合物的色谱保留时间，试样中目标化合物色谱峰的保留时间与相应标准色谱峰的保留时间相比较，变化范围在±2.5%内，并且所选择的监测离子对的相对丰度比与相当浓度标准溶液的离子相对丰度比的偏差不超过表3规定的范围，每个定性离子的信噪比应大于等</w:t>
      </w:r>
      <w:r>
        <w:rPr>
          <w:rFonts w:hint="eastAsia" w:ascii="Times New Roman" w:hAnsi="Times New Roman" w:eastAsia="宋体" w:cs="Times New Roman"/>
        </w:rPr>
        <w:t>于3</w:t>
      </w:r>
      <w:r>
        <w:rPr>
          <w:rFonts w:ascii="Times New Roman" w:hAnsi="Times New Roman" w:eastAsia="宋体" w:cs="Times New Roman"/>
        </w:rPr>
        <w:t>，可以确定试样中检出相应化合物。</w:t>
      </w:r>
    </w:p>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表3 定性确证时相对离子丰度的最大允许偏差</w:t>
      </w:r>
    </w:p>
    <w:tbl>
      <w:tblPr>
        <w:tblStyle w:val="30"/>
        <w:tblW w:w="8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1500"/>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4"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相对离子丰度</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r>
              <w:rPr>
                <w:rFonts w:hint="eastAsia" w:ascii="Times New Roman" w:hAnsi="Times New Roman" w:eastAsia="宋体" w:cs="Times New Roman"/>
                <w:sz w:val="18"/>
                <w:szCs w:val="18"/>
              </w:rPr>
              <w:t>）</w:t>
            </w:r>
          </w:p>
        </w:tc>
        <w:tc>
          <w:tcPr>
            <w:tcW w:w="1500"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&gt;50</w:t>
            </w:r>
          </w:p>
        </w:tc>
        <w:tc>
          <w:tcPr>
            <w:tcW w:w="1704"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&gt;20~50</w:t>
            </w:r>
          </w:p>
        </w:tc>
        <w:tc>
          <w:tcPr>
            <w:tcW w:w="1705"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&gt;10~20</w:t>
            </w:r>
          </w:p>
        </w:tc>
        <w:tc>
          <w:tcPr>
            <w:tcW w:w="1705" w:type="dxa"/>
            <w:vAlign w:val="center"/>
          </w:tcPr>
          <w:p>
            <w:pPr>
              <w:spacing w:line="360" w:lineRule="auto"/>
              <w:jc w:val="center"/>
              <w:rPr>
                <w:rFonts w:ascii="Times New Roman" w:hAnsi="Times New Roman" w:eastAsia="宋体" w:cs="Times New Roman"/>
                <w:sz w:val="18"/>
                <w:szCs w:val="18"/>
              </w:rPr>
            </w:pPr>
            <w:r>
              <w:rPr>
                <w:rFonts w:eastAsia="宋体" w:cs="Times New Roman" w:asciiTheme="minorEastAsia" w:hAnsiTheme="minorEastAsia"/>
                <w:sz w:val="18"/>
                <w:szCs w:val="18"/>
              </w:rPr>
              <w:t>≤</w:t>
            </w:r>
            <w:r>
              <w:rPr>
                <w:rFonts w:ascii="Times New Roman" w:hAnsi="Times New Roman" w:eastAsia="宋体" w:cs="Times New Roman"/>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2304"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允许的相对偏差</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r>
              <w:rPr>
                <w:rFonts w:hint="eastAsia" w:ascii="Times New Roman" w:hAnsi="Times New Roman" w:eastAsia="宋体" w:cs="Times New Roman"/>
                <w:sz w:val="18"/>
                <w:szCs w:val="18"/>
              </w:rPr>
              <w:t>）</w:t>
            </w:r>
          </w:p>
        </w:tc>
        <w:tc>
          <w:tcPr>
            <w:tcW w:w="1500"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1704"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±25</w:t>
            </w:r>
          </w:p>
        </w:tc>
        <w:tc>
          <w:tcPr>
            <w:tcW w:w="1705"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±30</w:t>
            </w:r>
          </w:p>
        </w:tc>
        <w:tc>
          <w:tcPr>
            <w:tcW w:w="1705"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r>
    </w:tbl>
    <w:p>
      <w:pPr>
        <w:spacing w:line="360" w:lineRule="auto"/>
        <w:rPr>
          <w:rFonts w:ascii="Times New Roman" w:hAnsi="Times New Roman" w:eastAsia="黑体" w:cs="Times New Roman"/>
          <w:szCs w:val="21"/>
        </w:rPr>
      </w:pPr>
      <w:r>
        <w:rPr>
          <w:rFonts w:ascii="Times New Roman" w:hAnsi="Times New Roman" w:eastAsia="黑体" w:cs="Times New Roman"/>
          <w:szCs w:val="21"/>
        </w:rPr>
        <w:t>5.4 定量测定</w:t>
      </w:r>
    </w:p>
    <w:p>
      <w:pPr>
        <w:spacing w:line="360" w:lineRule="auto"/>
        <w:rPr>
          <w:rFonts w:ascii="Times New Roman" w:hAnsi="Times New Roman" w:eastAsia="宋体" w:cs="Times New Roman"/>
          <w:szCs w:val="21"/>
        </w:rPr>
      </w:pPr>
      <w:r>
        <w:rPr>
          <w:rFonts w:ascii="Times New Roman" w:hAnsi="Times New Roman" w:eastAsia="宋体" w:cs="Times New Roman"/>
          <w:szCs w:val="21"/>
        </w:rPr>
        <w:t>5.4.1标准曲线的制作</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将混合标准工作溶液（3.3.4）分别按仪器参考条件（5.2）进行测定，得到相应的标准溶液的色谱峰面积。以标准工作溶液的浓度为横坐标，以色谱峰的峰面积为纵坐标，绘制标准曲线。必要时可用空白基质试样溶液（5.1.3）配制基质混合标准工作溶液绘制标准曲线。</w:t>
      </w:r>
    </w:p>
    <w:p>
      <w:pPr>
        <w:spacing w:line="360" w:lineRule="auto"/>
        <w:ind w:firstLine="420" w:firstLineChars="200"/>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标准品多反应监测（MRM）色谱图参见附录B。</w:t>
      </w:r>
    </w:p>
    <w:p>
      <w:pPr>
        <w:spacing w:line="360" w:lineRule="auto"/>
        <w:rPr>
          <w:rFonts w:ascii="Times New Roman" w:hAnsi="Times New Roman" w:eastAsia="宋体" w:cs="Times New Roman"/>
          <w:szCs w:val="21"/>
        </w:rPr>
      </w:pPr>
      <w:r>
        <w:rPr>
          <w:rFonts w:ascii="Times New Roman" w:hAnsi="Times New Roman" w:eastAsia="宋体" w:cs="Times New Roman"/>
          <w:szCs w:val="21"/>
        </w:rPr>
        <w:t>5.4.2试样溶液的测定</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将试样溶液（5.1）按仪器参考条件（5.2）进行测定，得到相应的样品溶液的色谱峰面积。根据标准曲线得到待测液中组分的浓度。</w:t>
      </w:r>
    </w:p>
    <w:p>
      <w:pPr>
        <w:pStyle w:val="48"/>
        <w:numPr>
          <w:ilvl w:val="0"/>
          <w:numId w:val="3"/>
        </w:numPr>
        <w:spacing w:line="360" w:lineRule="auto"/>
        <w:ind w:firstLineChars="0"/>
        <w:rPr>
          <w:rFonts w:eastAsia="黑体" w:cs="Times New Roman"/>
        </w:rPr>
      </w:pPr>
      <w:r>
        <w:rPr>
          <w:rFonts w:hint="eastAsia" w:eastAsia="黑体" w:cs="Times New Roman"/>
        </w:rPr>
        <w:t>结果计算</w:t>
      </w:r>
    </w:p>
    <w:p>
      <w:pPr>
        <w:spacing w:line="360" w:lineRule="auto"/>
        <w:ind w:firstLine="440" w:firstLineChars="200"/>
        <w:rPr>
          <w:rFonts w:ascii="Times New Roman" w:hAnsi="Times New Roman" w:cs="Times New Roman" w:eastAsiaTheme="minorEastAsia"/>
          <w:spacing w:val="5"/>
          <w:szCs w:val="21"/>
        </w:rPr>
      </w:pPr>
      <w:r>
        <w:rPr>
          <w:rFonts w:ascii="Times New Roman" w:hAnsi="Times New Roman" w:eastAsia="宋体" w:cs="Times New Roman"/>
          <w:spacing w:val="5"/>
          <w:szCs w:val="21"/>
        </w:rPr>
        <w:t>将液</w:t>
      </w:r>
      <w:r>
        <w:rPr>
          <w:rFonts w:ascii="Times New Roman" w:hAnsi="Times New Roman" w:cs="Times New Roman" w:eastAsiaTheme="minorEastAsia"/>
          <w:spacing w:val="5"/>
          <w:szCs w:val="21"/>
        </w:rPr>
        <w:t>相色谱-质谱测得</w:t>
      </w:r>
      <w:r>
        <w:rPr>
          <w:rFonts w:hint="eastAsia" w:ascii="Times New Roman" w:hAnsi="Times New Roman" w:cs="Times New Roman" w:eastAsiaTheme="minorEastAsia"/>
          <w:spacing w:val="5"/>
          <w:szCs w:val="21"/>
        </w:rPr>
        <w:t>的</w:t>
      </w:r>
      <w:r>
        <w:rPr>
          <w:rFonts w:ascii="Times New Roman" w:hAnsi="Times New Roman" w:cs="Times New Roman" w:eastAsiaTheme="minorEastAsia"/>
          <w:spacing w:val="5"/>
          <w:szCs w:val="21"/>
        </w:rPr>
        <w:t>浓度代入下式计算含量：</w:t>
      </w:r>
    </w:p>
    <w:p>
      <w:pPr>
        <w:spacing w:line="360" w:lineRule="auto"/>
        <w:ind w:firstLine="525" w:firstLineChars="250"/>
        <w:jc w:val="center"/>
        <w:rPr>
          <w:rFonts w:ascii="Times New Roman" w:hAnsi="Times New Roman" w:cs="Times New Roman" w:eastAsiaTheme="minorEastAsia"/>
          <w:color w:val="000000"/>
          <w:szCs w:val="21"/>
        </w:rPr>
      </w:pPr>
      <w:r>
        <w:rPr>
          <w:rFonts w:ascii="Times New Roman" w:hAnsi="Times New Roman" w:cs="Times New Roman" w:eastAsiaTheme="minorEastAsia"/>
          <w:color w:val="FF0000"/>
          <w:position w:val="-20"/>
          <w:szCs w:val="21"/>
        </w:rPr>
        <w:object>
          <v:shape id="_x0000_i1025" o:spt="75" type="#_x0000_t75" style="height:31.5pt;width:90pt;" o:ole="t" filled="f" o:preferrelative="t" stroked="f" coordsize="21600,21600">
            <v:path/>
            <v:fill on="f" focussize="0,0"/>
            <v:stroke on="f" joinstyle="miter"/>
            <v:imagedata r:id="rId7" o:title=""/>
            <o:lock v:ext="edit" aspectratio="t"/>
            <w10:wrap type="none"/>
            <w10:anchorlock/>
          </v:shape>
          <o:OLEObject Type="Embed" ProgID="Equations" ShapeID="_x0000_i1025" DrawAspect="Content" ObjectID="_1468075725" r:id="rId6">
            <o:LockedField>false</o:LockedField>
          </o:OLEObject>
        </w:object>
      </w:r>
      <w:r>
        <w:rPr>
          <w:rFonts w:ascii="Times New Roman" w:hAnsi="Times New Roman" w:cs="Times New Roman" w:eastAsiaTheme="minorEastAsia"/>
          <w:color w:val="000000"/>
          <w:szCs w:val="21"/>
        </w:rPr>
        <w:t>…………………………………………（1）</w:t>
      </w:r>
    </w:p>
    <w:p>
      <w:pPr>
        <w:spacing w:line="360" w:lineRule="auto"/>
        <w:ind w:firstLine="440" w:firstLineChars="200"/>
        <w:rPr>
          <w:rFonts w:ascii="Times New Roman" w:hAnsi="Times New Roman" w:cs="Times New Roman" w:eastAsiaTheme="minorEastAsia"/>
          <w:spacing w:val="5"/>
          <w:szCs w:val="21"/>
        </w:rPr>
      </w:pPr>
      <w:r>
        <w:rPr>
          <w:rFonts w:ascii="Times New Roman" w:hAnsi="Times New Roman" w:cs="Times New Roman" w:eastAsiaTheme="minorEastAsia"/>
          <w:spacing w:val="5"/>
          <w:szCs w:val="21"/>
        </w:rPr>
        <w:t>式中：</w:t>
      </w:r>
    </w:p>
    <w:p>
      <w:pPr>
        <w:spacing w:line="360" w:lineRule="auto"/>
        <w:ind w:firstLine="440" w:firstLineChars="200"/>
        <w:rPr>
          <w:rFonts w:ascii="Times New Roman" w:hAnsi="Times New Roman" w:cs="Times New Roman" w:eastAsiaTheme="minorEastAsia"/>
          <w:spacing w:val="5"/>
          <w:szCs w:val="21"/>
        </w:rPr>
      </w:pPr>
      <w:r>
        <w:rPr>
          <w:rFonts w:ascii="Times New Roman" w:hAnsi="Times New Roman" w:cs="Times New Roman" w:eastAsiaTheme="minorEastAsia"/>
          <w:i/>
          <w:spacing w:val="5"/>
          <w:szCs w:val="21"/>
        </w:rPr>
        <w:t xml:space="preserve">X </w:t>
      </w:r>
      <w:r>
        <w:rPr>
          <w:rFonts w:ascii="Times New Roman" w:hAnsi="Times New Roman" w:cs="Times New Roman" w:eastAsiaTheme="minorEastAsia"/>
          <w:spacing w:val="5"/>
          <w:szCs w:val="21"/>
        </w:rPr>
        <w:t>— 试样中各待测物的含量，单位为毫克每千克（mg/kg）；</w:t>
      </w:r>
    </w:p>
    <w:p>
      <w:pPr>
        <w:spacing w:line="360" w:lineRule="auto"/>
        <w:ind w:firstLine="440" w:firstLineChars="200"/>
        <w:rPr>
          <w:rFonts w:ascii="Times New Roman" w:hAnsi="Times New Roman" w:cs="Times New Roman" w:eastAsiaTheme="minorEastAsia"/>
          <w:color w:val="000000" w:themeColor="text1"/>
          <w:spacing w:val="5"/>
          <w:szCs w:val="21"/>
        </w:rPr>
      </w:pPr>
      <w:r>
        <w:rPr>
          <w:rFonts w:ascii="Times New Roman" w:hAnsi="Times New Roman" w:cs="Times New Roman" w:eastAsiaTheme="minorEastAsia"/>
          <w:i/>
          <w:spacing w:val="5"/>
          <w:szCs w:val="21"/>
        </w:rPr>
        <w:t xml:space="preserve">c </w:t>
      </w:r>
      <w:r>
        <w:rPr>
          <w:rFonts w:ascii="Times New Roman" w:hAnsi="Times New Roman" w:cs="Times New Roman" w:eastAsiaTheme="minorEastAsia"/>
          <w:spacing w:val="5"/>
          <w:szCs w:val="21"/>
        </w:rPr>
        <w:t>— 从标准曲线中读出的试样溶液</w:t>
      </w:r>
      <w:r>
        <w:rPr>
          <w:rFonts w:ascii="Times New Roman" w:hAnsi="Times New Roman" w:cs="Times New Roman" w:eastAsiaTheme="minorEastAsia"/>
          <w:szCs w:val="21"/>
        </w:rPr>
        <w:t>中各待测物</w:t>
      </w:r>
      <w:r>
        <w:rPr>
          <w:rFonts w:ascii="Times New Roman" w:hAnsi="Times New Roman" w:cs="Times New Roman" w:eastAsiaTheme="minorEastAsia"/>
          <w:spacing w:val="5"/>
          <w:szCs w:val="21"/>
        </w:rPr>
        <w:t>的浓度，单位为</w:t>
      </w:r>
      <w:r>
        <w:rPr>
          <w:rFonts w:ascii="Times New Roman" w:hAnsi="Times New Roman" w:cs="Times New Roman" w:eastAsiaTheme="minorEastAsia"/>
          <w:color w:val="000000" w:themeColor="text1"/>
          <w:spacing w:val="5"/>
          <w:szCs w:val="21"/>
        </w:rPr>
        <w:t>纳克每毫升</w:t>
      </w:r>
      <w:bookmarkStart w:id="0" w:name="OLE_LINK2"/>
      <w:r>
        <w:rPr>
          <w:rFonts w:ascii="Times New Roman" w:hAnsi="Times New Roman" w:cs="Times New Roman" w:eastAsiaTheme="minorEastAsia"/>
          <w:color w:val="000000" w:themeColor="text1"/>
          <w:spacing w:val="5"/>
          <w:szCs w:val="21"/>
        </w:rPr>
        <w:t>（</w:t>
      </w:r>
      <w:bookmarkEnd w:id="0"/>
      <w:r>
        <w:rPr>
          <w:rFonts w:ascii="Times New Roman" w:hAnsi="Times New Roman" w:cs="Times New Roman" w:eastAsiaTheme="minorEastAsia"/>
          <w:color w:val="000000" w:themeColor="text1"/>
          <w:spacing w:val="5"/>
          <w:szCs w:val="21"/>
        </w:rPr>
        <w:t>ng/mL）；</w:t>
      </w:r>
    </w:p>
    <w:p>
      <w:pPr>
        <w:spacing w:line="360" w:lineRule="auto"/>
        <w:ind w:firstLine="440" w:firstLineChars="200"/>
        <w:rPr>
          <w:rFonts w:ascii="Times New Roman" w:hAnsi="Times New Roman" w:cs="Times New Roman" w:eastAsiaTheme="minorEastAsia"/>
          <w:spacing w:val="5"/>
          <w:szCs w:val="21"/>
        </w:rPr>
      </w:pPr>
      <w:r>
        <w:rPr>
          <w:rFonts w:ascii="Times New Roman" w:hAnsi="Times New Roman" w:cs="Times New Roman" w:eastAsiaTheme="minorEastAsia"/>
          <w:i/>
          <w:spacing w:val="5"/>
          <w:szCs w:val="21"/>
        </w:rPr>
        <w:t xml:space="preserve">V </w:t>
      </w:r>
      <w:r>
        <w:rPr>
          <w:rFonts w:ascii="Times New Roman" w:hAnsi="Times New Roman" w:cs="Times New Roman" w:eastAsiaTheme="minorEastAsia"/>
          <w:spacing w:val="5"/>
          <w:szCs w:val="21"/>
        </w:rPr>
        <w:t>— 样液最终定容体积，单位为毫升（mL）；</w:t>
      </w:r>
    </w:p>
    <w:p>
      <w:pPr>
        <w:spacing w:line="360" w:lineRule="auto"/>
        <w:ind w:firstLine="440" w:firstLineChars="200"/>
        <w:rPr>
          <w:rFonts w:ascii="Times New Roman" w:hAnsi="Times New Roman" w:cs="Times New Roman" w:eastAsiaTheme="minorEastAsia"/>
          <w:szCs w:val="21"/>
        </w:rPr>
      </w:pPr>
      <w:r>
        <w:rPr>
          <w:rFonts w:ascii="Times New Roman" w:hAnsi="Times New Roman" w:cs="Times New Roman" w:eastAsiaTheme="minorEastAsia"/>
          <w:i/>
          <w:spacing w:val="5"/>
          <w:szCs w:val="21"/>
        </w:rPr>
        <w:t xml:space="preserve">m </w:t>
      </w:r>
      <w:r>
        <w:rPr>
          <w:rFonts w:ascii="Times New Roman" w:hAnsi="Times New Roman" w:cs="Times New Roman" w:eastAsiaTheme="minorEastAsia"/>
          <w:spacing w:val="5"/>
          <w:szCs w:val="21"/>
        </w:rPr>
        <w:t xml:space="preserve">— </w:t>
      </w:r>
      <w:r>
        <w:rPr>
          <w:rFonts w:ascii="Times New Roman" w:hAnsi="Times New Roman" w:cs="Times New Roman" w:eastAsiaTheme="minorEastAsia"/>
          <w:szCs w:val="21"/>
        </w:rPr>
        <w:t>试样溶液所代表的质量，单位为克（g）；</w:t>
      </w:r>
    </w:p>
    <w:p>
      <w:pPr>
        <w:spacing w:line="360" w:lineRule="auto"/>
        <w:ind w:firstLine="420" w:firstLineChars="200"/>
        <w:rPr>
          <w:rFonts w:ascii="Times New Roman" w:hAnsi="Times New Roman" w:cs="Times New Roman" w:eastAsiaTheme="minorEastAsia"/>
          <w:spacing w:val="5"/>
          <w:szCs w:val="21"/>
        </w:rPr>
      </w:pPr>
      <w:r>
        <w:rPr>
          <w:rFonts w:ascii="Times New Roman" w:hAnsi="Times New Roman" w:cs="Times New Roman" w:eastAsiaTheme="minorEastAsia"/>
          <w:i/>
          <w:szCs w:val="21"/>
        </w:rPr>
        <w:t xml:space="preserve">K </w:t>
      </w:r>
      <w:r>
        <w:rPr>
          <w:rFonts w:ascii="Times New Roman" w:hAnsi="Times New Roman" w:cs="Times New Roman" w:eastAsiaTheme="minorEastAsia"/>
          <w:szCs w:val="21"/>
        </w:rPr>
        <w:t>— 稀释倍数；</w:t>
      </w:r>
    </w:p>
    <w:p>
      <w:pPr>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计算结果以重复性条件下获得的两次独立测定结果的算术平均值表示，结果保留三位有效数字。</w:t>
      </w:r>
    </w:p>
    <w:p>
      <w:pPr>
        <w:pStyle w:val="48"/>
        <w:numPr>
          <w:ilvl w:val="0"/>
          <w:numId w:val="3"/>
        </w:numPr>
        <w:spacing w:line="360" w:lineRule="auto"/>
        <w:ind w:firstLineChars="0"/>
        <w:rPr>
          <w:rFonts w:eastAsia="黑体" w:cs="Times New Roman"/>
        </w:rPr>
      </w:pPr>
      <w:r>
        <w:rPr>
          <w:rFonts w:hint="eastAsia" w:eastAsia="黑体" w:cs="Times New Roman"/>
        </w:rPr>
        <w:t>精密度</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在重复性条件下获得的两次独立测定结果的绝对差值不得超过算术平均值的10%。</w:t>
      </w:r>
    </w:p>
    <w:p>
      <w:pPr>
        <w:pStyle w:val="48"/>
        <w:numPr>
          <w:ilvl w:val="0"/>
          <w:numId w:val="3"/>
        </w:numPr>
        <w:spacing w:line="360" w:lineRule="auto"/>
        <w:ind w:firstLineChars="0"/>
        <w:rPr>
          <w:rFonts w:eastAsia="黑体" w:cs="Times New Roman"/>
        </w:rPr>
      </w:pPr>
      <w:r>
        <w:rPr>
          <w:rFonts w:hint="eastAsia" w:eastAsia="黑体" w:cs="Times New Roman"/>
        </w:rPr>
        <w:t>准确度</w:t>
      </w:r>
    </w:p>
    <w:p>
      <w:pPr>
        <w:spacing w:line="360" w:lineRule="auto"/>
        <w:ind w:firstLine="420" w:firstLineChars="200"/>
        <w:rPr>
          <w:rFonts w:ascii="Times New Roman" w:hAnsi="黑体" w:eastAsia="黑体" w:cs="Times New Roman"/>
          <w:szCs w:val="21"/>
        </w:rPr>
      </w:pPr>
      <w:r>
        <w:rPr>
          <w:rFonts w:ascii="Times New Roman" w:cs="Times New Roman" w:hAnsiTheme="minorEastAsia" w:eastAsiaTheme="minorEastAsia"/>
          <w:szCs w:val="21"/>
        </w:rPr>
        <w:t>本方法的添加浓度范围及回收率实验数据见表</w:t>
      </w:r>
      <w:r>
        <w:rPr>
          <w:rFonts w:ascii="Times New Roman" w:hAnsi="Times New Roman" w:cs="Times New Roman" w:eastAsiaTheme="minorEastAsia"/>
          <w:szCs w:val="21"/>
        </w:rPr>
        <w:t>4</w:t>
      </w:r>
      <w:r>
        <w:rPr>
          <w:rFonts w:hint="eastAsia" w:ascii="Times New Roman" w:hAnsi="Times New Roman" w:cs="Times New Roman" w:eastAsiaTheme="minorEastAsia"/>
          <w:szCs w:val="21"/>
        </w:rPr>
        <w:t>。</w:t>
      </w:r>
    </w:p>
    <w:p>
      <w:pPr>
        <w:spacing w:line="360" w:lineRule="auto"/>
        <w:jc w:val="center"/>
        <w:rPr>
          <w:rFonts w:ascii="Times New Roman" w:hAnsi="黑体" w:eastAsia="黑体" w:cs="Times New Roman"/>
          <w:szCs w:val="21"/>
        </w:rPr>
      </w:pPr>
    </w:p>
    <w:p>
      <w:pPr>
        <w:spacing w:line="360" w:lineRule="auto"/>
        <w:jc w:val="center"/>
        <w:rPr>
          <w:rFonts w:ascii="Times New Roman" w:hAnsi="黑体" w:eastAsia="黑体" w:cs="Times New Roman"/>
          <w:szCs w:val="21"/>
        </w:rPr>
      </w:pPr>
    </w:p>
    <w:p>
      <w:pPr>
        <w:spacing w:line="360" w:lineRule="auto"/>
        <w:jc w:val="center"/>
        <w:rPr>
          <w:rFonts w:ascii="Times New Roman" w:hAnsi="黑体" w:eastAsia="黑体" w:cs="Times New Roman"/>
          <w:szCs w:val="21"/>
        </w:rPr>
      </w:pPr>
    </w:p>
    <w:p>
      <w:pPr>
        <w:spacing w:line="360" w:lineRule="auto"/>
        <w:jc w:val="center"/>
        <w:rPr>
          <w:rFonts w:ascii="Times New Roman" w:hAnsi="黑体" w:eastAsia="黑体" w:cs="Times New Roman"/>
          <w:szCs w:val="21"/>
        </w:rPr>
      </w:pPr>
    </w:p>
    <w:p>
      <w:pPr>
        <w:spacing w:line="360" w:lineRule="auto"/>
        <w:jc w:val="center"/>
        <w:rPr>
          <w:rFonts w:ascii="Times New Roman" w:hAnsi="黑体" w:eastAsia="黑体" w:cs="Times New Roman"/>
          <w:szCs w:val="21"/>
        </w:rPr>
      </w:pPr>
    </w:p>
    <w:p>
      <w:pPr>
        <w:spacing w:line="360" w:lineRule="auto"/>
        <w:jc w:val="center"/>
        <w:rPr>
          <w:rFonts w:ascii="Times New Roman" w:hAnsi="黑体" w:eastAsia="黑体" w:cs="Times New Roman"/>
          <w:szCs w:val="21"/>
        </w:rPr>
      </w:pPr>
    </w:p>
    <w:p>
      <w:pPr>
        <w:spacing w:line="360" w:lineRule="auto"/>
        <w:jc w:val="center"/>
        <w:rPr>
          <w:rFonts w:ascii="Times New Roman" w:hAnsi="黑体" w:eastAsia="黑体" w:cs="Times New Roman"/>
          <w:szCs w:val="21"/>
        </w:rPr>
      </w:pPr>
    </w:p>
    <w:p>
      <w:pPr>
        <w:spacing w:line="360" w:lineRule="auto"/>
        <w:jc w:val="center"/>
        <w:rPr>
          <w:rFonts w:ascii="Times New Roman" w:hAnsi="Times New Roman" w:eastAsia="黑体" w:cs="Times New Roman"/>
          <w:szCs w:val="21"/>
        </w:rPr>
      </w:pPr>
      <w:r>
        <w:rPr>
          <w:rFonts w:ascii="Times New Roman" w:hAnsi="黑体" w:eastAsia="黑体" w:cs="Times New Roman"/>
          <w:szCs w:val="21"/>
        </w:rPr>
        <w:t>表</w:t>
      </w:r>
      <w:r>
        <w:rPr>
          <w:rFonts w:ascii="Times New Roman" w:hAnsi="Times New Roman" w:eastAsia="黑体" w:cs="Times New Roman"/>
          <w:szCs w:val="21"/>
        </w:rPr>
        <w:t xml:space="preserve">4 </w:t>
      </w:r>
      <w:r>
        <w:rPr>
          <w:rFonts w:ascii="Times New Roman" w:hAnsi="黑体" w:eastAsia="黑体" w:cs="Times New Roman"/>
          <w:szCs w:val="21"/>
        </w:rPr>
        <w:t>本方法添加浓度范围及回收率</w:t>
      </w:r>
    </w:p>
    <w:tbl>
      <w:tblPr>
        <w:tblStyle w:val="30"/>
        <w:tblW w:w="8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2189"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目标化合物</w:t>
            </w:r>
          </w:p>
        </w:tc>
        <w:tc>
          <w:tcPr>
            <w:tcW w:w="2189"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添加浓度范围</w:t>
            </w:r>
          </w:p>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（mg/kg）</w:t>
            </w:r>
          </w:p>
        </w:tc>
        <w:tc>
          <w:tcPr>
            <w:tcW w:w="2189"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回收率（%）</w:t>
            </w:r>
          </w:p>
        </w:tc>
        <w:tc>
          <w:tcPr>
            <w:tcW w:w="2189"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相对标准偏差（%）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2189" w:type="dxa"/>
            <w:vAlign w:val="center"/>
          </w:tcPr>
          <w:p>
            <w:pPr>
              <w:widowControl/>
              <w:spacing w:line="360" w:lineRule="auto"/>
              <w:jc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酚妥拉明</w:t>
            </w:r>
          </w:p>
        </w:tc>
        <w:tc>
          <w:tcPr>
            <w:tcW w:w="2189"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0.01~0.1</w:t>
            </w:r>
          </w:p>
        </w:tc>
        <w:tc>
          <w:tcPr>
            <w:tcW w:w="2189"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70~120</w:t>
            </w:r>
          </w:p>
        </w:tc>
        <w:tc>
          <w:tcPr>
            <w:tcW w:w="2189" w:type="dxa"/>
            <w:vAlign w:val="center"/>
          </w:tcPr>
          <w:p>
            <w:pPr>
              <w:spacing w:line="360" w:lineRule="auto"/>
              <w:jc w:val="center"/>
              <w:rPr>
                <w:rFonts w:ascii="Times New Roman" w:hAnsi="Times New Roman" w:eastAsia="宋体" w:cs="Times New Roman"/>
                <w:color w:val="000000" w:themeColor="text1"/>
                <w:sz w:val="18"/>
                <w:szCs w:val="18"/>
              </w:rPr>
            </w:pPr>
            <w:r>
              <w:rPr>
                <w:rFonts w:eastAsia="宋体" w:cs="Times New Roman" w:asciiTheme="minorEastAsia" w:hAnsiTheme="minorEastAsia"/>
                <w:color w:val="000000" w:themeColor="text1"/>
                <w:sz w:val="18"/>
                <w:szCs w:val="18"/>
              </w:rPr>
              <w:t>≤</w:t>
            </w:r>
            <w:r>
              <w:rPr>
                <w:rFonts w:ascii="Times New Roman" w:hAnsi="Times New Roman" w:eastAsia="宋体" w:cs="Times New Roman"/>
                <w:color w:val="000000" w:themeColor="text1"/>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189" w:type="dxa"/>
            <w:vAlign w:val="center"/>
          </w:tcPr>
          <w:p>
            <w:pPr>
              <w:widowControl/>
              <w:spacing w:line="360" w:lineRule="auto"/>
              <w:jc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哌唑嗪</w:t>
            </w:r>
          </w:p>
        </w:tc>
        <w:tc>
          <w:tcPr>
            <w:tcW w:w="2189"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0.01~0.1</w:t>
            </w:r>
          </w:p>
        </w:tc>
        <w:tc>
          <w:tcPr>
            <w:tcW w:w="2189"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70~120</w:t>
            </w:r>
          </w:p>
        </w:tc>
        <w:tc>
          <w:tcPr>
            <w:tcW w:w="2189" w:type="dxa"/>
            <w:vAlign w:val="center"/>
          </w:tcPr>
          <w:p>
            <w:pPr>
              <w:spacing w:line="360" w:lineRule="auto"/>
              <w:jc w:val="center"/>
              <w:rPr>
                <w:rFonts w:ascii="Times New Roman" w:hAnsi="Times New Roman" w:eastAsia="宋体" w:cs="Times New Roman"/>
                <w:color w:val="000000" w:themeColor="text1"/>
                <w:sz w:val="18"/>
                <w:szCs w:val="18"/>
              </w:rPr>
            </w:pPr>
            <w:r>
              <w:rPr>
                <w:rFonts w:eastAsia="宋体" w:cs="Times New Roman" w:asciiTheme="minorEastAsia" w:hAnsiTheme="minorEastAsia"/>
                <w:color w:val="000000" w:themeColor="text1"/>
                <w:sz w:val="18"/>
                <w:szCs w:val="18"/>
              </w:rPr>
              <w:t>≤</w:t>
            </w:r>
            <w:r>
              <w:rPr>
                <w:rFonts w:ascii="Times New Roman" w:hAnsi="Times New Roman" w:eastAsia="宋体" w:cs="Times New Roman"/>
                <w:color w:val="000000" w:themeColor="text1"/>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2189" w:type="dxa"/>
            <w:vAlign w:val="center"/>
          </w:tcPr>
          <w:p>
            <w:pPr>
              <w:widowControl/>
              <w:spacing w:line="360" w:lineRule="auto"/>
              <w:jc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特拉唑嗪</w:t>
            </w:r>
          </w:p>
        </w:tc>
        <w:tc>
          <w:tcPr>
            <w:tcW w:w="2189"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0.005~0.05</w:t>
            </w:r>
          </w:p>
        </w:tc>
        <w:tc>
          <w:tcPr>
            <w:tcW w:w="2189"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70~120</w:t>
            </w:r>
          </w:p>
        </w:tc>
        <w:tc>
          <w:tcPr>
            <w:tcW w:w="2189" w:type="dxa"/>
            <w:vAlign w:val="center"/>
          </w:tcPr>
          <w:p>
            <w:pPr>
              <w:spacing w:line="360" w:lineRule="auto"/>
              <w:jc w:val="center"/>
              <w:rPr>
                <w:rFonts w:ascii="Times New Roman" w:hAnsi="Times New Roman" w:eastAsia="宋体" w:cs="Times New Roman"/>
                <w:color w:val="000000" w:themeColor="text1"/>
                <w:sz w:val="18"/>
                <w:szCs w:val="18"/>
              </w:rPr>
            </w:pPr>
            <w:r>
              <w:rPr>
                <w:rFonts w:eastAsia="宋体" w:cs="Times New Roman" w:asciiTheme="minorEastAsia" w:hAnsiTheme="minorEastAsia"/>
                <w:color w:val="000000" w:themeColor="text1"/>
                <w:sz w:val="18"/>
                <w:szCs w:val="18"/>
              </w:rPr>
              <w:t>≤</w:t>
            </w:r>
            <w:r>
              <w:rPr>
                <w:rFonts w:ascii="Times New Roman" w:hAnsi="Times New Roman" w:eastAsia="宋体" w:cs="Times New Roman"/>
                <w:color w:val="000000" w:themeColor="text1"/>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2189" w:type="dxa"/>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育亨宾</w:t>
            </w:r>
          </w:p>
        </w:tc>
        <w:tc>
          <w:tcPr>
            <w:tcW w:w="2189"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0.005~0.05</w:t>
            </w:r>
          </w:p>
        </w:tc>
        <w:tc>
          <w:tcPr>
            <w:tcW w:w="2189"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70~120</w:t>
            </w:r>
          </w:p>
        </w:tc>
        <w:tc>
          <w:tcPr>
            <w:tcW w:w="2189" w:type="dxa"/>
            <w:vAlign w:val="center"/>
          </w:tcPr>
          <w:p>
            <w:pPr>
              <w:spacing w:line="360" w:lineRule="auto"/>
              <w:jc w:val="center"/>
              <w:rPr>
                <w:rFonts w:ascii="Times New Roman" w:hAnsi="Times New Roman" w:eastAsia="宋体" w:cs="Times New Roman"/>
                <w:color w:val="000000" w:themeColor="text1"/>
                <w:sz w:val="18"/>
                <w:szCs w:val="18"/>
              </w:rPr>
            </w:pPr>
            <w:r>
              <w:rPr>
                <w:rFonts w:eastAsia="宋体" w:cs="Times New Roman" w:asciiTheme="minorEastAsia" w:hAnsiTheme="minorEastAsia"/>
                <w:color w:val="000000" w:themeColor="text1"/>
                <w:sz w:val="18"/>
                <w:szCs w:val="18"/>
              </w:rPr>
              <w:t>≤</w:t>
            </w:r>
            <w:r>
              <w:rPr>
                <w:rFonts w:ascii="Times New Roman" w:hAnsi="Times New Roman" w:eastAsia="宋体" w:cs="Times New Roman"/>
                <w:color w:val="000000" w:themeColor="text1"/>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2189" w:type="dxa"/>
            <w:vAlign w:val="center"/>
          </w:tcPr>
          <w:p>
            <w:pPr>
              <w:widowControl/>
              <w:spacing w:line="36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妥拉唑林</w:t>
            </w:r>
          </w:p>
        </w:tc>
        <w:tc>
          <w:tcPr>
            <w:tcW w:w="2189"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0.04~0.4</w:t>
            </w:r>
          </w:p>
        </w:tc>
        <w:tc>
          <w:tcPr>
            <w:tcW w:w="2189" w:type="dxa"/>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70~120</w:t>
            </w:r>
          </w:p>
        </w:tc>
        <w:tc>
          <w:tcPr>
            <w:tcW w:w="2189" w:type="dxa"/>
            <w:vAlign w:val="center"/>
          </w:tcPr>
          <w:p>
            <w:pPr>
              <w:spacing w:line="360" w:lineRule="auto"/>
              <w:jc w:val="center"/>
              <w:rPr>
                <w:rFonts w:ascii="Times New Roman" w:hAnsi="Times New Roman" w:eastAsia="宋体" w:cs="Times New Roman"/>
                <w:color w:val="000000" w:themeColor="text1"/>
                <w:sz w:val="18"/>
                <w:szCs w:val="18"/>
              </w:rPr>
            </w:pPr>
            <w:r>
              <w:rPr>
                <w:rFonts w:eastAsia="宋体" w:cs="Times New Roman" w:asciiTheme="minorEastAsia" w:hAnsiTheme="minorEastAsia"/>
                <w:color w:val="000000" w:themeColor="text1"/>
                <w:sz w:val="18"/>
                <w:szCs w:val="18"/>
              </w:rPr>
              <w:t>≤</w:t>
            </w:r>
            <w:r>
              <w:rPr>
                <w:rFonts w:ascii="Times New Roman" w:hAnsi="Times New Roman" w:eastAsia="宋体" w:cs="Times New Roman"/>
                <w:color w:val="000000" w:themeColor="text1"/>
                <w:sz w:val="18"/>
                <w:szCs w:val="18"/>
              </w:rPr>
              <w:t>15</w:t>
            </w:r>
          </w:p>
        </w:tc>
      </w:tr>
    </w:tbl>
    <w:p>
      <w:pPr>
        <w:pStyle w:val="48"/>
        <w:numPr>
          <w:ilvl w:val="0"/>
          <w:numId w:val="3"/>
        </w:numPr>
        <w:spacing w:line="360" w:lineRule="auto"/>
        <w:ind w:firstLineChars="0"/>
        <w:rPr>
          <w:rFonts w:eastAsia="黑体" w:cs="Times New Roman"/>
        </w:rPr>
      </w:pPr>
      <w:r>
        <w:rPr>
          <w:rFonts w:eastAsia="黑体" w:cs="Times New Roman"/>
        </w:rPr>
        <w:t>其它</w:t>
      </w:r>
    </w:p>
    <w:p>
      <w:pPr>
        <w:spacing w:line="360" w:lineRule="auto"/>
        <w:ind w:firstLine="420" w:firstLineChars="200"/>
        <w:rPr>
          <w:rFonts w:ascii="Times New Roman" w:hAnsi="Times New Roman" w:cs="Times New Roman"/>
          <w:szCs w:val="21"/>
        </w:rPr>
      </w:pPr>
      <w:r>
        <w:rPr>
          <w:rFonts w:ascii="Times New Roman" w:hAnsi="Times New Roman" w:eastAsia="宋体" w:cs="Times New Roman"/>
          <w:szCs w:val="21"/>
        </w:rPr>
        <w:t>当取样量为</w:t>
      </w:r>
      <w:r>
        <w:rPr>
          <w:rFonts w:ascii="Times New Roman" w:hAnsi="Times New Roman" w:cs="Times New Roman"/>
          <w:szCs w:val="21"/>
        </w:rPr>
        <w:t>1.0 g</w:t>
      </w:r>
      <w:r>
        <w:rPr>
          <w:rFonts w:ascii="Times New Roman" w:hAnsi="Times New Roman" w:eastAsia="宋体" w:cs="Times New Roman"/>
          <w:szCs w:val="21"/>
        </w:rPr>
        <w:t>，定容体积为</w:t>
      </w:r>
      <w:r>
        <w:rPr>
          <w:rFonts w:ascii="Times New Roman" w:hAnsi="Times New Roman" w:cs="Times New Roman"/>
          <w:szCs w:val="21"/>
        </w:rPr>
        <w:t>10 mL</w:t>
      </w:r>
      <w:r>
        <w:rPr>
          <w:rFonts w:ascii="Times New Roman" w:hAnsi="Times New Roman" w:eastAsia="宋体" w:cs="Times New Roman"/>
          <w:szCs w:val="21"/>
        </w:rPr>
        <w:t>时，本方法中酚妥拉明与哌唑嗪检出限</w:t>
      </w:r>
      <w:r>
        <w:rPr>
          <w:rFonts w:hint="eastAsia" w:ascii="Times New Roman" w:hAnsi="Times New Roman" w:eastAsia="宋体" w:cs="Times New Roman"/>
          <w:szCs w:val="21"/>
        </w:rPr>
        <w:t>均</w:t>
      </w:r>
      <w:r>
        <w:rPr>
          <w:rFonts w:ascii="Times New Roman" w:hAnsi="Times New Roman" w:eastAsia="宋体" w:cs="Times New Roman"/>
          <w:szCs w:val="21"/>
        </w:rPr>
        <w:t>为</w:t>
      </w:r>
      <w:r>
        <w:rPr>
          <w:rFonts w:ascii="Times New Roman" w:hAnsi="Times New Roman" w:cs="Times New Roman" w:eastAsiaTheme="minorEastAsia"/>
          <w:szCs w:val="21"/>
        </w:rPr>
        <w:t>0.005 mg</w:t>
      </w:r>
      <w:r>
        <w:rPr>
          <w:rFonts w:ascii="Times New Roman" w:hAnsi="Times New Roman" w:cs="Times New Roman"/>
          <w:szCs w:val="21"/>
        </w:rPr>
        <w:t>/kg</w:t>
      </w:r>
      <w:r>
        <w:rPr>
          <w:rFonts w:hint="eastAsia" w:ascii="Times New Roman" w:hAnsi="Times New Roman" w:cs="Times New Roman" w:eastAsiaTheme="minorEastAsia"/>
          <w:szCs w:val="21"/>
        </w:rPr>
        <w:t>，</w:t>
      </w:r>
      <w:r>
        <w:rPr>
          <w:rFonts w:ascii="Times New Roman" w:hAnsi="Times New Roman" w:eastAsia="宋体" w:cs="Times New Roman"/>
          <w:szCs w:val="21"/>
        </w:rPr>
        <w:t>定量限为</w:t>
      </w:r>
      <w:r>
        <w:rPr>
          <w:rFonts w:ascii="Times New Roman" w:hAnsi="Times New Roman" w:cs="Times New Roman" w:eastAsiaTheme="minorEastAsia"/>
          <w:szCs w:val="21"/>
        </w:rPr>
        <w:t>0.01 mg</w:t>
      </w:r>
      <w:r>
        <w:rPr>
          <w:rFonts w:ascii="Times New Roman" w:hAnsi="Times New Roman" w:cs="Times New Roman"/>
          <w:szCs w:val="21"/>
        </w:rPr>
        <w:t>/kg</w:t>
      </w:r>
      <w:r>
        <w:rPr>
          <w:rFonts w:hint="eastAsia" w:ascii="Times New Roman" w:hAnsi="Times New Roman" w:eastAsia="宋体" w:cs="Times New Roman"/>
          <w:szCs w:val="24"/>
        </w:rPr>
        <w:t>；</w:t>
      </w:r>
      <w:r>
        <w:rPr>
          <w:rFonts w:ascii="Times New Roman" w:hAnsi="Times New Roman" w:eastAsia="宋体" w:cs="Times New Roman"/>
          <w:szCs w:val="21"/>
        </w:rPr>
        <w:t>特拉唑嗪与育亨宾的检出限</w:t>
      </w:r>
      <w:r>
        <w:rPr>
          <w:rFonts w:hint="eastAsia" w:ascii="Times New Roman" w:hAnsi="Times New Roman" w:eastAsia="宋体" w:cs="Times New Roman"/>
          <w:szCs w:val="21"/>
        </w:rPr>
        <w:t>均</w:t>
      </w:r>
      <w:r>
        <w:rPr>
          <w:rFonts w:ascii="Times New Roman" w:hAnsi="Times New Roman" w:eastAsia="宋体" w:cs="Times New Roman"/>
          <w:szCs w:val="21"/>
        </w:rPr>
        <w:t>为</w:t>
      </w:r>
      <w:r>
        <w:rPr>
          <w:rFonts w:ascii="Times New Roman" w:hAnsi="Times New Roman" w:cs="Times New Roman" w:eastAsiaTheme="minorEastAsia"/>
          <w:szCs w:val="21"/>
        </w:rPr>
        <w:t>0.0025</w:t>
      </w:r>
      <w:r>
        <w:rPr>
          <w:rFonts w:ascii="Times New Roman" w:hAnsi="Times New Roman" w:cs="Times New Roman"/>
          <w:szCs w:val="21"/>
        </w:rPr>
        <w:t xml:space="preserve"> </w:t>
      </w:r>
      <w:r>
        <w:rPr>
          <w:rFonts w:ascii="Times New Roman" w:hAnsi="Times New Roman" w:eastAsia="宋体" w:cs="Times New Roman"/>
          <w:szCs w:val="21"/>
        </w:rPr>
        <w:t>m</w:t>
      </w:r>
      <w:r>
        <w:rPr>
          <w:rFonts w:ascii="Times New Roman" w:hAnsi="Times New Roman" w:cs="Times New Roman"/>
          <w:szCs w:val="21"/>
        </w:rPr>
        <w:t>g/kg</w:t>
      </w:r>
      <w:r>
        <w:rPr>
          <w:rFonts w:hint="eastAsia" w:ascii="宋体" w:hAnsi="宋体" w:eastAsia="宋体" w:cs="Times New Roman"/>
          <w:szCs w:val="24"/>
        </w:rPr>
        <w:t>，</w:t>
      </w:r>
      <w:r>
        <w:rPr>
          <w:rFonts w:ascii="Times New Roman" w:hAnsi="Times New Roman" w:eastAsia="宋体" w:cs="Times New Roman"/>
          <w:szCs w:val="21"/>
        </w:rPr>
        <w:t>定量限为</w:t>
      </w:r>
      <w:r>
        <w:rPr>
          <w:rFonts w:ascii="Times New Roman" w:hAnsi="Times New Roman" w:cs="Times New Roman" w:eastAsiaTheme="minorEastAsia"/>
          <w:szCs w:val="21"/>
        </w:rPr>
        <w:t>0.005 mg</w:t>
      </w:r>
      <w:r>
        <w:rPr>
          <w:rFonts w:ascii="Times New Roman" w:hAnsi="Times New Roman" w:cs="Times New Roman"/>
          <w:szCs w:val="21"/>
        </w:rPr>
        <w:t>/kg</w:t>
      </w:r>
      <w:r>
        <w:rPr>
          <w:rFonts w:ascii="Times New Roman" w:hAnsi="Times New Roman" w:eastAsia="宋体" w:cs="Times New Roman"/>
          <w:szCs w:val="24"/>
        </w:rPr>
        <w:t>；</w:t>
      </w:r>
      <w:r>
        <w:rPr>
          <w:rFonts w:ascii="Times New Roman" w:hAnsi="Times New Roman" w:eastAsia="宋体" w:cs="Times New Roman"/>
          <w:szCs w:val="21"/>
        </w:rPr>
        <w:t>妥拉唑林的检出限为</w:t>
      </w:r>
      <w:r>
        <w:rPr>
          <w:rFonts w:ascii="Times New Roman" w:hAnsi="Times New Roman" w:cs="Times New Roman" w:eastAsiaTheme="minorEastAsia"/>
          <w:szCs w:val="21"/>
        </w:rPr>
        <w:t>0.02</w:t>
      </w:r>
      <w:r>
        <w:rPr>
          <w:rFonts w:ascii="Times New Roman" w:hAnsi="Times New Roman" w:cs="Times New Roman"/>
          <w:szCs w:val="21"/>
        </w:rPr>
        <w:t xml:space="preserve"> </w:t>
      </w:r>
      <w:r>
        <w:rPr>
          <w:rFonts w:ascii="Times New Roman" w:hAnsi="Times New Roman" w:eastAsia="宋体" w:cs="Times New Roman"/>
          <w:szCs w:val="21"/>
        </w:rPr>
        <w:t>m</w:t>
      </w:r>
      <w:r>
        <w:rPr>
          <w:rFonts w:ascii="Times New Roman" w:hAnsi="Times New Roman" w:cs="Times New Roman"/>
          <w:szCs w:val="21"/>
        </w:rPr>
        <w:t>g/kg</w:t>
      </w:r>
      <w:r>
        <w:rPr>
          <w:rFonts w:ascii="Times New Roman" w:hAnsi="Times New Roman" w:eastAsia="宋体" w:cs="Times New Roman"/>
          <w:szCs w:val="21"/>
        </w:rPr>
        <w:t>，定量限为</w:t>
      </w:r>
      <w:r>
        <w:rPr>
          <w:rFonts w:ascii="Times New Roman" w:hAnsi="Times New Roman" w:cs="Times New Roman" w:eastAsiaTheme="minorEastAsia"/>
          <w:szCs w:val="21"/>
        </w:rPr>
        <w:t>0.04 mg</w:t>
      </w:r>
      <w:r>
        <w:rPr>
          <w:rFonts w:ascii="Times New Roman" w:hAnsi="Times New Roman" w:cs="Times New Roman"/>
          <w:szCs w:val="21"/>
        </w:rPr>
        <w:t>/kg</w:t>
      </w:r>
      <w:r>
        <w:rPr>
          <w:rFonts w:ascii="Times New Roman" w:hAnsi="Times New Roman" w:eastAsia="宋体" w:cs="Times New Roman"/>
          <w:szCs w:val="21"/>
        </w:rPr>
        <w:t>。</w:t>
      </w:r>
    </w:p>
    <w:p>
      <w:pPr>
        <w:spacing w:line="360" w:lineRule="auto"/>
        <w:rPr>
          <w:rFonts w:ascii="Times New Roman" w:hAnsi="Times New Roman" w:cs="Times New Roman" w:eastAsiaTheme="minorEastAsia"/>
          <w:color w:val="FF0000"/>
          <w:sz w:val="24"/>
          <w:szCs w:val="24"/>
        </w:rPr>
      </w:pPr>
      <w:r>
        <w:rPr>
          <w:rFonts w:ascii="Times New Roman" w:hAnsi="Times New Roman" w:cs="Times New Roman" w:eastAsiaTheme="minorEastAsia"/>
          <w:color w:val="000000" w:themeColor="text1"/>
          <w:szCs w:val="21"/>
        </w:rPr>
        <w:t xml:space="preserve">   </w:t>
      </w:r>
    </w:p>
    <w:p>
      <w:pPr>
        <w:pStyle w:val="45"/>
        <w:tabs>
          <w:tab w:val="center" w:pos="4201"/>
          <w:tab w:val="right" w:leader="dot" w:pos="9298"/>
        </w:tabs>
        <w:spacing w:line="360" w:lineRule="auto"/>
        <w:ind w:firstLine="0" w:firstLineChars="0"/>
        <w:jc w:val="left"/>
        <w:rPr>
          <w:rFonts w:ascii="Times New Roman" w:hAnsi="Times New Roman" w:eastAsia="黑体" w:cs="Times New Roman"/>
          <w:b/>
          <w:szCs w:val="21"/>
        </w:rPr>
      </w:pPr>
      <w:r>
        <w:rPr>
          <w:rFonts w:ascii="Times New Roman" w:hAnsi="Times New Roman" w:cs="Times New Roman"/>
          <w:sz w:val="24"/>
          <w:szCs w:val="24"/>
        </w:rPr>
        <w:br w:type="page"/>
      </w:r>
      <w:r>
        <w:rPr>
          <w:rFonts w:ascii="Times New Roman" w:hAnsi="Times New Roman" w:eastAsia="黑体" w:cs="Times New Roman"/>
          <w:sz w:val="32"/>
          <w:szCs w:val="21"/>
        </w:rPr>
        <w:t>附录A</w:t>
      </w:r>
    </w:p>
    <w:p>
      <w:pPr>
        <w:pStyle w:val="45"/>
        <w:tabs>
          <w:tab w:val="center" w:pos="4201"/>
          <w:tab w:val="right" w:leader="dot" w:pos="9298"/>
        </w:tabs>
        <w:spacing w:line="360" w:lineRule="auto"/>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标准品信息</w:t>
      </w:r>
    </w:p>
    <w:p>
      <w:pPr>
        <w:spacing w:line="360" w:lineRule="auto"/>
        <w:rPr>
          <w:rFonts w:ascii="Times New Roman" w:hAnsi="Times New Roman" w:eastAsia="黑体" w:cs="Times New Roman"/>
          <w:b/>
          <w:color w:val="000000"/>
          <w:sz w:val="24"/>
          <w:szCs w:val="24"/>
        </w:rPr>
      </w:pPr>
      <w:r>
        <w:rPr>
          <w:rFonts w:ascii="Times New Roman" w:hAnsi="Times New Roman" w:eastAsia="黑体" w:cs="Times New Roman"/>
          <w:b/>
          <w:szCs w:val="21"/>
        </w:rPr>
        <w:t>表A 标准品的中文名称、英文名称、CAS</w:t>
      </w:r>
      <w:r>
        <w:rPr>
          <w:rFonts w:hint="eastAsia" w:ascii="Times New Roman" w:hAnsi="Times New Roman" w:eastAsia="黑体" w:cs="Times New Roman"/>
          <w:b/>
          <w:szCs w:val="21"/>
        </w:rPr>
        <w:t>登录</w:t>
      </w:r>
      <w:r>
        <w:rPr>
          <w:rFonts w:ascii="Times New Roman" w:hAnsi="Times New Roman" w:eastAsia="黑体" w:cs="Times New Roman"/>
          <w:b/>
          <w:szCs w:val="21"/>
        </w:rPr>
        <w:t>号、分子式、相对分子质量和折算系数</w:t>
      </w:r>
    </w:p>
    <w:tbl>
      <w:tblPr>
        <w:tblStyle w:val="30"/>
        <w:tblW w:w="9528" w:type="dxa"/>
        <w:jc w:val="center"/>
        <w:tblInd w:w="0" w:type="dxa"/>
        <w:tblLayout w:type="fixed"/>
        <w:tblCellMar>
          <w:top w:w="0" w:type="dxa"/>
          <w:left w:w="108" w:type="dxa"/>
          <w:bottom w:w="0" w:type="dxa"/>
          <w:right w:w="108" w:type="dxa"/>
        </w:tblCellMar>
      </w:tblPr>
      <w:tblGrid>
        <w:gridCol w:w="780"/>
        <w:gridCol w:w="1225"/>
        <w:gridCol w:w="1499"/>
        <w:gridCol w:w="1308"/>
        <w:gridCol w:w="2088"/>
        <w:gridCol w:w="1260"/>
        <w:gridCol w:w="1368"/>
      </w:tblGrid>
      <w:tr>
        <w:tblPrEx>
          <w:tblLayout w:type="fixed"/>
          <w:tblCellMar>
            <w:top w:w="0" w:type="dxa"/>
            <w:left w:w="108" w:type="dxa"/>
            <w:bottom w:w="0" w:type="dxa"/>
            <w:right w:w="108" w:type="dxa"/>
          </w:tblCellMar>
        </w:tblPrEx>
        <w:trPr>
          <w:trHeight w:val="986" w:hRule="atLeast"/>
          <w:tblHeader/>
          <w:jc w:val="center"/>
        </w:trPr>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序号</w:t>
            </w:r>
          </w:p>
        </w:tc>
        <w:tc>
          <w:tcPr>
            <w:tcW w:w="12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中文名称</w:t>
            </w:r>
          </w:p>
        </w:tc>
        <w:tc>
          <w:tcPr>
            <w:tcW w:w="149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英文名称</w:t>
            </w:r>
          </w:p>
        </w:tc>
        <w:tc>
          <w:tcPr>
            <w:tcW w:w="13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CAS</w:t>
            </w:r>
            <w:r>
              <w:rPr>
                <w:rFonts w:hint="eastAsia" w:ascii="Times New Roman" w:hAnsi="Times New Roman" w:eastAsia="宋体" w:cs="Times New Roman"/>
                <w:b/>
                <w:bCs/>
                <w:color w:val="000000"/>
                <w:kern w:val="0"/>
                <w:szCs w:val="21"/>
              </w:rPr>
              <w:t>登录</w:t>
            </w:r>
            <w:r>
              <w:rPr>
                <w:rFonts w:ascii="Times New Roman" w:hAnsi="Times New Roman" w:eastAsia="宋体" w:cs="Times New Roman"/>
                <w:b/>
                <w:bCs/>
                <w:color w:val="000000"/>
                <w:kern w:val="0"/>
                <w:szCs w:val="21"/>
              </w:rPr>
              <w:t>号</w:t>
            </w:r>
          </w:p>
        </w:tc>
        <w:tc>
          <w:tcPr>
            <w:tcW w:w="208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分子式</w:t>
            </w:r>
          </w:p>
        </w:tc>
        <w:tc>
          <w:tcPr>
            <w:tcW w:w="126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相对分子质量</w:t>
            </w:r>
          </w:p>
        </w:tc>
        <w:tc>
          <w:tcPr>
            <w:tcW w:w="136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折算系数</w:t>
            </w:r>
          </w:p>
        </w:tc>
      </w:tr>
      <w:tr>
        <w:tblPrEx>
          <w:tblLayout w:type="fixed"/>
          <w:tblCellMar>
            <w:top w:w="0" w:type="dxa"/>
            <w:left w:w="108" w:type="dxa"/>
            <w:bottom w:w="0" w:type="dxa"/>
            <w:right w:w="108" w:type="dxa"/>
          </w:tblCellMar>
        </w:tblPrEx>
        <w:trPr>
          <w:trHeight w:val="986" w:hRule="atLeast"/>
          <w:tblHeader/>
          <w:jc w:val="center"/>
        </w:trPr>
        <w:tc>
          <w:tcPr>
            <w:tcW w:w="78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225"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甲磺酸酚妥拉明</w:t>
            </w:r>
          </w:p>
        </w:tc>
        <w:tc>
          <w:tcPr>
            <w:tcW w:w="1499"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Phentolamine Mesylate  </w:t>
            </w:r>
          </w:p>
        </w:tc>
        <w:tc>
          <w:tcPr>
            <w:tcW w:w="130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65-28-1</w:t>
            </w:r>
          </w:p>
        </w:tc>
        <w:tc>
          <w:tcPr>
            <w:tcW w:w="208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C</w:t>
            </w:r>
            <w:r>
              <w:rPr>
                <w:rFonts w:ascii="Times New Roman" w:hAnsi="Times New Roman" w:eastAsia="宋体" w:cs="Times New Roman"/>
                <w:color w:val="000000"/>
                <w:kern w:val="0"/>
                <w:szCs w:val="21"/>
                <w:vertAlign w:val="subscript"/>
              </w:rPr>
              <w:t>17</w:t>
            </w:r>
            <w:r>
              <w:rPr>
                <w:rFonts w:ascii="Times New Roman" w:hAnsi="Times New Roman" w:eastAsia="宋体" w:cs="Times New Roman"/>
                <w:color w:val="000000"/>
                <w:kern w:val="0"/>
                <w:szCs w:val="21"/>
              </w:rPr>
              <w:t>H</w:t>
            </w:r>
            <w:r>
              <w:rPr>
                <w:rFonts w:ascii="Times New Roman" w:hAnsi="Times New Roman" w:eastAsia="宋体" w:cs="Times New Roman"/>
                <w:color w:val="000000"/>
                <w:kern w:val="0"/>
                <w:szCs w:val="21"/>
                <w:vertAlign w:val="subscript"/>
              </w:rPr>
              <w:t>19</w:t>
            </w:r>
            <w:r>
              <w:rPr>
                <w:rFonts w:ascii="Times New Roman" w:hAnsi="Times New Roman" w:eastAsia="宋体" w:cs="Times New Roman"/>
                <w:color w:val="000000"/>
                <w:kern w:val="0"/>
                <w:szCs w:val="21"/>
              </w:rPr>
              <w:t>N</w:t>
            </w:r>
            <w:r>
              <w:rPr>
                <w:rFonts w:ascii="Times New Roman" w:hAnsi="Times New Roman" w:eastAsia="宋体" w:cs="Times New Roman"/>
                <w:color w:val="000000"/>
                <w:kern w:val="0"/>
                <w:szCs w:val="21"/>
                <w:vertAlign w:val="subscript"/>
              </w:rPr>
              <w:t>3</w:t>
            </w:r>
            <w:r>
              <w:rPr>
                <w:rFonts w:ascii="Times New Roman" w:hAnsi="Times New Roman" w:eastAsia="宋体" w:cs="Times New Roman"/>
                <w:color w:val="000000"/>
                <w:kern w:val="0"/>
                <w:szCs w:val="21"/>
              </w:rPr>
              <w:t>O</w:t>
            </w:r>
            <w:r>
              <w:rPr>
                <w:rFonts w:ascii="Times New Roman" w:hAnsi="Times New Roman" w:eastAsia="宋体" w:cs="Times New Roman"/>
                <w:szCs w:val="21"/>
              </w:rPr>
              <w:t>·CH</w:t>
            </w:r>
            <w:r>
              <w:rPr>
                <w:rFonts w:ascii="Times New Roman" w:hAnsi="Times New Roman" w:eastAsia="宋体" w:cs="Times New Roman"/>
                <w:szCs w:val="21"/>
                <w:vertAlign w:val="subscript"/>
              </w:rPr>
              <w:t>3</w:t>
            </w:r>
            <w:r>
              <w:rPr>
                <w:rFonts w:ascii="Times New Roman" w:hAnsi="Times New Roman" w:eastAsia="宋体" w:cs="Times New Roman"/>
                <w:szCs w:val="21"/>
              </w:rPr>
              <w:t>SO</w:t>
            </w:r>
            <w:r>
              <w:rPr>
                <w:rFonts w:ascii="Times New Roman" w:hAnsi="Times New Roman" w:eastAsia="宋体" w:cs="Times New Roman"/>
                <w:szCs w:val="21"/>
                <w:vertAlign w:val="subscript"/>
              </w:rPr>
              <w:t>3</w:t>
            </w:r>
            <w:r>
              <w:rPr>
                <w:rFonts w:ascii="Times New Roman" w:hAnsi="Times New Roman" w:eastAsia="宋体" w:cs="Times New Roman"/>
                <w:szCs w:val="21"/>
              </w:rPr>
              <w:t>H</w:t>
            </w:r>
          </w:p>
        </w:tc>
        <w:tc>
          <w:tcPr>
            <w:tcW w:w="1260"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377.46</w:t>
            </w:r>
          </w:p>
        </w:tc>
        <w:tc>
          <w:tcPr>
            <w:tcW w:w="136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0.745</w:t>
            </w:r>
          </w:p>
        </w:tc>
      </w:tr>
      <w:tr>
        <w:tblPrEx>
          <w:tblLayout w:type="fixed"/>
          <w:tblCellMar>
            <w:top w:w="0" w:type="dxa"/>
            <w:left w:w="108" w:type="dxa"/>
            <w:bottom w:w="0" w:type="dxa"/>
            <w:right w:w="108" w:type="dxa"/>
          </w:tblCellMar>
        </w:tblPrEx>
        <w:trPr>
          <w:trHeight w:val="986" w:hRule="atLeast"/>
          <w:tblHeader/>
          <w:jc w:val="center"/>
        </w:trPr>
        <w:tc>
          <w:tcPr>
            <w:tcW w:w="78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25"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盐酸哌唑嗪</w:t>
            </w:r>
          </w:p>
        </w:tc>
        <w:tc>
          <w:tcPr>
            <w:tcW w:w="1499"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Prazosin Hydrochloride</w:t>
            </w:r>
          </w:p>
        </w:tc>
        <w:tc>
          <w:tcPr>
            <w:tcW w:w="130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19237-84-4</w:t>
            </w:r>
          </w:p>
        </w:tc>
        <w:tc>
          <w:tcPr>
            <w:tcW w:w="208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C</w:t>
            </w:r>
            <w:r>
              <w:rPr>
                <w:rFonts w:ascii="Times New Roman" w:hAnsi="Times New Roman" w:eastAsia="宋体" w:cs="Times New Roman"/>
                <w:color w:val="000000"/>
                <w:kern w:val="0"/>
                <w:szCs w:val="21"/>
                <w:vertAlign w:val="subscript"/>
              </w:rPr>
              <w:t>19</w:t>
            </w:r>
            <w:r>
              <w:rPr>
                <w:rFonts w:ascii="Times New Roman" w:hAnsi="Times New Roman" w:eastAsia="宋体" w:cs="Times New Roman"/>
                <w:color w:val="000000"/>
                <w:kern w:val="0"/>
                <w:szCs w:val="21"/>
              </w:rPr>
              <w:t>H</w:t>
            </w:r>
            <w:r>
              <w:rPr>
                <w:rFonts w:ascii="Times New Roman" w:hAnsi="Times New Roman" w:eastAsia="宋体" w:cs="Times New Roman"/>
                <w:color w:val="000000"/>
                <w:kern w:val="0"/>
                <w:szCs w:val="21"/>
                <w:vertAlign w:val="subscript"/>
              </w:rPr>
              <w:t>21</w:t>
            </w:r>
            <w:r>
              <w:rPr>
                <w:rFonts w:ascii="Times New Roman" w:hAnsi="Times New Roman" w:eastAsia="宋体" w:cs="Times New Roman"/>
                <w:color w:val="000000"/>
                <w:kern w:val="0"/>
                <w:szCs w:val="21"/>
              </w:rPr>
              <w:t>N</w:t>
            </w:r>
            <w:r>
              <w:rPr>
                <w:rFonts w:ascii="Times New Roman" w:hAnsi="Times New Roman" w:eastAsia="宋体" w:cs="Times New Roman"/>
                <w:color w:val="000000"/>
                <w:kern w:val="0"/>
                <w:szCs w:val="21"/>
                <w:vertAlign w:val="subscript"/>
              </w:rPr>
              <w:t>5</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4</w:t>
            </w:r>
            <w:r>
              <w:rPr>
                <w:rFonts w:ascii="Times New Roman" w:hAnsi="Times New Roman" w:eastAsia="宋体" w:cs="Times New Roman"/>
                <w:szCs w:val="21"/>
              </w:rPr>
              <w:t>·HCl</w:t>
            </w:r>
          </w:p>
        </w:tc>
        <w:tc>
          <w:tcPr>
            <w:tcW w:w="1260"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419.86</w:t>
            </w:r>
          </w:p>
        </w:tc>
        <w:tc>
          <w:tcPr>
            <w:tcW w:w="136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0.913</w:t>
            </w:r>
          </w:p>
        </w:tc>
      </w:tr>
      <w:tr>
        <w:tblPrEx>
          <w:tblLayout w:type="fixed"/>
          <w:tblCellMar>
            <w:top w:w="0" w:type="dxa"/>
            <w:left w:w="108" w:type="dxa"/>
            <w:bottom w:w="0" w:type="dxa"/>
            <w:right w:w="108" w:type="dxa"/>
          </w:tblCellMar>
        </w:tblPrEx>
        <w:trPr>
          <w:trHeight w:val="986" w:hRule="atLeast"/>
          <w:tblHeader/>
          <w:jc w:val="center"/>
        </w:trPr>
        <w:tc>
          <w:tcPr>
            <w:tcW w:w="78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225"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盐酸特拉唑嗪</w:t>
            </w:r>
          </w:p>
        </w:tc>
        <w:tc>
          <w:tcPr>
            <w:tcW w:w="1499"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Terazosin Hydrochloride</w:t>
            </w:r>
          </w:p>
        </w:tc>
        <w:tc>
          <w:tcPr>
            <w:tcW w:w="130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63074-08-8</w:t>
            </w:r>
          </w:p>
        </w:tc>
        <w:tc>
          <w:tcPr>
            <w:tcW w:w="208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C</w:t>
            </w:r>
            <w:r>
              <w:rPr>
                <w:rFonts w:ascii="Times New Roman" w:hAnsi="Times New Roman" w:eastAsia="宋体" w:cs="Times New Roman"/>
                <w:color w:val="000000"/>
                <w:kern w:val="0"/>
                <w:szCs w:val="21"/>
                <w:vertAlign w:val="subscript"/>
              </w:rPr>
              <w:t>19</w:t>
            </w:r>
            <w:r>
              <w:rPr>
                <w:rFonts w:ascii="Times New Roman" w:hAnsi="Times New Roman" w:eastAsia="宋体" w:cs="Times New Roman"/>
                <w:color w:val="000000"/>
                <w:kern w:val="0"/>
                <w:szCs w:val="21"/>
              </w:rPr>
              <w:t>H</w:t>
            </w:r>
            <w:r>
              <w:rPr>
                <w:rFonts w:ascii="Times New Roman" w:hAnsi="Times New Roman" w:eastAsia="宋体" w:cs="Times New Roman"/>
                <w:color w:val="000000"/>
                <w:kern w:val="0"/>
                <w:szCs w:val="21"/>
                <w:vertAlign w:val="subscript"/>
              </w:rPr>
              <w:t>25</w:t>
            </w:r>
            <w:r>
              <w:rPr>
                <w:rFonts w:ascii="Times New Roman" w:hAnsi="Times New Roman" w:eastAsia="宋体" w:cs="Times New Roman"/>
                <w:color w:val="000000"/>
                <w:kern w:val="0"/>
                <w:szCs w:val="21"/>
              </w:rPr>
              <w:t>N</w:t>
            </w:r>
            <w:r>
              <w:rPr>
                <w:rFonts w:ascii="Times New Roman" w:hAnsi="Times New Roman" w:eastAsia="宋体" w:cs="Times New Roman"/>
                <w:color w:val="000000"/>
                <w:kern w:val="0"/>
                <w:szCs w:val="21"/>
                <w:vertAlign w:val="subscript"/>
              </w:rPr>
              <w:t>5</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4</w:t>
            </w:r>
            <w:r>
              <w:rPr>
                <w:rFonts w:ascii="Times New Roman" w:hAnsi="Times New Roman" w:eastAsia="宋体" w:cs="Times New Roman"/>
                <w:szCs w:val="21"/>
              </w:rPr>
              <w:t>·HCl</w:t>
            </w:r>
          </w:p>
        </w:tc>
        <w:tc>
          <w:tcPr>
            <w:tcW w:w="1260"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423.89</w:t>
            </w:r>
          </w:p>
        </w:tc>
        <w:tc>
          <w:tcPr>
            <w:tcW w:w="136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0.914</w:t>
            </w:r>
          </w:p>
        </w:tc>
      </w:tr>
      <w:tr>
        <w:tblPrEx>
          <w:tblLayout w:type="fixed"/>
          <w:tblCellMar>
            <w:top w:w="0" w:type="dxa"/>
            <w:left w:w="108" w:type="dxa"/>
            <w:bottom w:w="0" w:type="dxa"/>
            <w:right w:w="108" w:type="dxa"/>
          </w:tblCellMar>
        </w:tblPrEx>
        <w:trPr>
          <w:trHeight w:val="986" w:hRule="atLeast"/>
          <w:tblHeader/>
          <w:jc w:val="center"/>
        </w:trPr>
        <w:tc>
          <w:tcPr>
            <w:tcW w:w="78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225"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盐酸育亨宾</w:t>
            </w:r>
          </w:p>
        </w:tc>
        <w:tc>
          <w:tcPr>
            <w:tcW w:w="1499"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Yohimbine Hydrochloride</w:t>
            </w:r>
          </w:p>
        </w:tc>
        <w:tc>
          <w:tcPr>
            <w:tcW w:w="130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65-19-0</w:t>
            </w:r>
          </w:p>
        </w:tc>
        <w:tc>
          <w:tcPr>
            <w:tcW w:w="208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vertAlign w:val="subscript"/>
              </w:rPr>
            </w:pPr>
            <w:r>
              <w:rPr>
                <w:rFonts w:ascii="Times New Roman" w:hAnsi="Times New Roman" w:eastAsia="宋体" w:cs="Times New Roman"/>
                <w:color w:val="000000"/>
                <w:kern w:val="0"/>
                <w:szCs w:val="21"/>
              </w:rPr>
              <w:t>C</w:t>
            </w:r>
            <w:r>
              <w:rPr>
                <w:rFonts w:ascii="Times New Roman" w:hAnsi="Times New Roman" w:eastAsia="宋体" w:cs="Times New Roman"/>
                <w:color w:val="000000"/>
                <w:kern w:val="0"/>
                <w:szCs w:val="21"/>
                <w:vertAlign w:val="subscript"/>
              </w:rPr>
              <w:t>21</w:t>
            </w:r>
            <w:r>
              <w:rPr>
                <w:rFonts w:ascii="Times New Roman" w:hAnsi="Times New Roman" w:eastAsia="宋体" w:cs="Times New Roman"/>
                <w:color w:val="000000"/>
                <w:kern w:val="0"/>
                <w:szCs w:val="21"/>
              </w:rPr>
              <w:t>H</w:t>
            </w:r>
            <w:r>
              <w:rPr>
                <w:rFonts w:ascii="Times New Roman" w:hAnsi="Times New Roman" w:eastAsia="宋体" w:cs="Times New Roman"/>
                <w:color w:val="000000"/>
                <w:kern w:val="0"/>
                <w:szCs w:val="21"/>
                <w:vertAlign w:val="subscript"/>
              </w:rPr>
              <w:t>26</w:t>
            </w:r>
            <w:r>
              <w:rPr>
                <w:rFonts w:ascii="Times New Roman" w:hAnsi="Times New Roman" w:eastAsia="宋体" w:cs="Times New Roman"/>
                <w:color w:val="000000"/>
                <w:kern w:val="0"/>
                <w:szCs w:val="21"/>
              </w:rPr>
              <w:t>N</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3</w:t>
            </w:r>
            <w:r>
              <w:rPr>
                <w:rFonts w:ascii="Times New Roman" w:hAnsi="Times New Roman" w:eastAsia="宋体" w:cs="Times New Roman"/>
                <w:szCs w:val="21"/>
              </w:rPr>
              <w:t>·HCl</w:t>
            </w:r>
          </w:p>
        </w:tc>
        <w:tc>
          <w:tcPr>
            <w:tcW w:w="1260"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390.91</w:t>
            </w:r>
          </w:p>
        </w:tc>
        <w:tc>
          <w:tcPr>
            <w:tcW w:w="136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0.907</w:t>
            </w:r>
          </w:p>
        </w:tc>
      </w:tr>
      <w:tr>
        <w:tblPrEx>
          <w:tblLayout w:type="fixed"/>
          <w:tblCellMar>
            <w:top w:w="0" w:type="dxa"/>
            <w:left w:w="108" w:type="dxa"/>
            <w:bottom w:w="0" w:type="dxa"/>
            <w:right w:w="108" w:type="dxa"/>
          </w:tblCellMar>
        </w:tblPrEx>
        <w:trPr>
          <w:trHeight w:val="986" w:hRule="atLeast"/>
          <w:tblHeader/>
          <w:jc w:val="center"/>
        </w:trPr>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2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盐酸妥拉唑林</w:t>
            </w:r>
          </w:p>
        </w:tc>
        <w:tc>
          <w:tcPr>
            <w:tcW w:w="149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Tolazoline</w:t>
            </w:r>
          </w:p>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Hydrochloride</w:t>
            </w:r>
          </w:p>
        </w:tc>
        <w:tc>
          <w:tcPr>
            <w:tcW w:w="13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59-97-2</w:t>
            </w:r>
          </w:p>
        </w:tc>
        <w:tc>
          <w:tcPr>
            <w:tcW w:w="208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C</w:t>
            </w:r>
            <w:r>
              <w:rPr>
                <w:rFonts w:ascii="Times New Roman" w:hAnsi="Times New Roman" w:eastAsia="宋体" w:cs="Times New Roman"/>
                <w:color w:val="000000"/>
                <w:kern w:val="0"/>
                <w:szCs w:val="21"/>
                <w:vertAlign w:val="subscript"/>
              </w:rPr>
              <w:t>10</w:t>
            </w:r>
            <w:r>
              <w:rPr>
                <w:rFonts w:ascii="Times New Roman" w:hAnsi="Times New Roman" w:eastAsia="宋体" w:cs="Times New Roman"/>
                <w:color w:val="000000"/>
                <w:kern w:val="0"/>
                <w:szCs w:val="21"/>
              </w:rPr>
              <w:t>H</w:t>
            </w:r>
            <w:r>
              <w:rPr>
                <w:rFonts w:ascii="Times New Roman" w:hAnsi="Times New Roman" w:eastAsia="宋体" w:cs="Times New Roman"/>
                <w:color w:val="000000"/>
                <w:kern w:val="0"/>
                <w:szCs w:val="21"/>
                <w:vertAlign w:val="subscript"/>
              </w:rPr>
              <w:t>12</w:t>
            </w:r>
            <w:r>
              <w:rPr>
                <w:rFonts w:ascii="Times New Roman" w:hAnsi="Times New Roman" w:eastAsia="宋体" w:cs="Times New Roman"/>
                <w:color w:val="000000"/>
                <w:kern w:val="0"/>
                <w:szCs w:val="21"/>
              </w:rPr>
              <w:t>N</w:t>
            </w:r>
            <w:r>
              <w:rPr>
                <w:rFonts w:ascii="Times New Roman" w:hAnsi="Times New Roman" w:eastAsia="宋体" w:cs="Times New Roman"/>
                <w:color w:val="000000"/>
                <w:kern w:val="0"/>
                <w:szCs w:val="21"/>
                <w:vertAlign w:val="subscript"/>
              </w:rPr>
              <w:t>2</w:t>
            </w:r>
            <w:r>
              <w:rPr>
                <w:rFonts w:ascii="Times New Roman" w:hAnsi="Times New Roman" w:eastAsia="宋体" w:cs="Times New Roman"/>
                <w:szCs w:val="21"/>
              </w:rPr>
              <w:t>·HCl</w:t>
            </w:r>
          </w:p>
        </w:tc>
        <w:tc>
          <w:tcPr>
            <w:tcW w:w="126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196.68</w:t>
            </w:r>
          </w:p>
        </w:tc>
        <w:tc>
          <w:tcPr>
            <w:tcW w:w="136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0.815</w:t>
            </w:r>
          </w:p>
        </w:tc>
      </w:tr>
    </w:tbl>
    <w:p>
      <w:pPr>
        <w:pStyle w:val="45"/>
        <w:tabs>
          <w:tab w:val="center" w:pos="4201"/>
          <w:tab w:val="right" w:leader="dot" w:pos="9298"/>
        </w:tabs>
        <w:spacing w:line="360" w:lineRule="auto"/>
        <w:ind w:firstLine="0" w:firstLineChars="0"/>
        <w:jc w:val="left"/>
        <w:rPr>
          <w:rFonts w:ascii="Times New Roman" w:hAnsi="Times New Roman" w:eastAsia="黑体" w:cs="Times New Roman"/>
          <w:sz w:val="32"/>
          <w:szCs w:val="21"/>
        </w:rPr>
      </w:pPr>
    </w:p>
    <w:p>
      <w:pPr>
        <w:pStyle w:val="45"/>
        <w:tabs>
          <w:tab w:val="center" w:pos="4201"/>
          <w:tab w:val="right" w:leader="dot" w:pos="9298"/>
        </w:tabs>
        <w:spacing w:line="360" w:lineRule="auto"/>
        <w:ind w:firstLine="0" w:firstLineChars="0"/>
        <w:jc w:val="left"/>
        <w:rPr>
          <w:rFonts w:ascii="Times New Roman" w:hAnsi="Times New Roman" w:eastAsia="黑体" w:cs="Times New Roman"/>
          <w:sz w:val="32"/>
          <w:szCs w:val="21"/>
        </w:rPr>
      </w:pPr>
    </w:p>
    <w:p>
      <w:pPr>
        <w:pStyle w:val="45"/>
        <w:tabs>
          <w:tab w:val="center" w:pos="4201"/>
          <w:tab w:val="right" w:leader="dot" w:pos="9298"/>
        </w:tabs>
        <w:spacing w:line="360" w:lineRule="auto"/>
        <w:ind w:firstLine="0" w:firstLineChars="0"/>
        <w:jc w:val="left"/>
        <w:rPr>
          <w:rFonts w:ascii="Times New Roman" w:hAnsi="Times New Roman" w:eastAsia="黑体" w:cs="Times New Roman"/>
          <w:sz w:val="32"/>
          <w:szCs w:val="21"/>
        </w:rPr>
      </w:pPr>
    </w:p>
    <w:p>
      <w:pPr>
        <w:pStyle w:val="45"/>
        <w:tabs>
          <w:tab w:val="center" w:pos="4201"/>
          <w:tab w:val="right" w:leader="dot" w:pos="9298"/>
        </w:tabs>
        <w:spacing w:line="360" w:lineRule="auto"/>
        <w:ind w:firstLine="0" w:firstLineChars="0"/>
        <w:jc w:val="left"/>
        <w:rPr>
          <w:rFonts w:ascii="Times New Roman" w:hAnsi="Times New Roman" w:eastAsia="黑体" w:cs="Times New Roman"/>
          <w:sz w:val="32"/>
          <w:szCs w:val="21"/>
        </w:rPr>
      </w:pPr>
    </w:p>
    <w:p>
      <w:pPr>
        <w:pStyle w:val="45"/>
        <w:tabs>
          <w:tab w:val="center" w:pos="4201"/>
          <w:tab w:val="right" w:leader="dot" w:pos="9298"/>
        </w:tabs>
        <w:spacing w:line="360" w:lineRule="auto"/>
        <w:ind w:firstLine="0" w:firstLineChars="0"/>
        <w:jc w:val="left"/>
        <w:rPr>
          <w:rFonts w:ascii="Times New Roman" w:hAnsi="Times New Roman" w:eastAsia="黑体" w:cs="Times New Roman"/>
          <w:sz w:val="32"/>
          <w:szCs w:val="21"/>
        </w:rPr>
      </w:pPr>
    </w:p>
    <w:p>
      <w:pPr>
        <w:pStyle w:val="45"/>
        <w:tabs>
          <w:tab w:val="center" w:pos="4201"/>
          <w:tab w:val="right" w:leader="dot" w:pos="9298"/>
        </w:tabs>
        <w:spacing w:line="360" w:lineRule="auto"/>
        <w:ind w:firstLine="0" w:firstLineChars="0"/>
        <w:jc w:val="left"/>
        <w:rPr>
          <w:rFonts w:ascii="Times New Roman" w:hAnsi="Times New Roman" w:eastAsia="黑体" w:cs="Times New Roman"/>
          <w:sz w:val="32"/>
          <w:szCs w:val="21"/>
        </w:rPr>
      </w:pPr>
    </w:p>
    <w:p>
      <w:pPr>
        <w:pStyle w:val="45"/>
        <w:tabs>
          <w:tab w:val="center" w:pos="4201"/>
          <w:tab w:val="right" w:leader="dot" w:pos="9298"/>
        </w:tabs>
        <w:spacing w:line="360" w:lineRule="auto"/>
        <w:ind w:firstLine="0" w:firstLineChars="0"/>
        <w:jc w:val="left"/>
        <w:rPr>
          <w:rFonts w:ascii="Times New Roman" w:hAnsi="Times New Roman" w:eastAsia="黑体" w:cs="Times New Roman"/>
          <w:sz w:val="32"/>
          <w:szCs w:val="21"/>
        </w:rPr>
      </w:pPr>
    </w:p>
    <w:p>
      <w:pPr>
        <w:pStyle w:val="45"/>
        <w:tabs>
          <w:tab w:val="center" w:pos="4201"/>
          <w:tab w:val="right" w:leader="dot" w:pos="9298"/>
        </w:tabs>
        <w:spacing w:line="360" w:lineRule="auto"/>
        <w:ind w:firstLine="0" w:firstLineChars="0"/>
        <w:jc w:val="left"/>
        <w:rPr>
          <w:rFonts w:ascii="Times New Roman" w:hAnsi="Times New Roman" w:eastAsia="黑体" w:cs="Times New Roman"/>
          <w:sz w:val="32"/>
          <w:szCs w:val="21"/>
        </w:rPr>
      </w:pPr>
    </w:p>
    <w:p>
      <w:pPr>
        <w:pStyle w:val="45"/>
        <w:tabs>
          <w:tab w:val="center" w:pos="4201"/>
          <w:tab w:val="right" w:leader="dot" w:pos="9298"/>
        </w:tabs>
        <w:spacing w:line="360" w:lineRule="auto"/>
        <w:ind w:firstLine="0" w:firstLineChars="0"/>
        <w:jc w:val="left"/>
        <w:rPr>
          <w:rFonts w:ascii="Times New Roman" w:hAnsi="Times New Roman" w:eastAsia="黑体" w:cs="Times New Roman"/>
          <w:sz w:val="32"/>
          <w:szCs w:val="21"/>
        </w:rPr>
      </w:pPr>
    </w:p>
    <w:p>
      <w:pPr>
        <w:pStyle w:val="45"/>
        <w:tabs>
          <w:tab w:val="center" w:pos="4201"/>
          <w:tab w:val="right" w:leader="dot" w:pos="9298"/>
        </w:tabs>
        <w:spacing w:line="360" w:lineRule="auto"/>
        <w:ind w:firstLine="0" w:firstLineChars="0"/>
        <w:jc w:val="left"/>
        <w:rPr>
          <w:rFonts w:ascii="Times New Roman" w:hAnsi="Times New Roman" w:eastAsia="黑体" w:cs="Times New Roman"/>
          <w:sz w:val="32"/>
          <w:szCs w:val="21"/>
        </w:rPr>
      </w:pPr>
    </w:p>
    <w:p>
      <w:pPr>
        <w:pStyle w:val="45"/>
        <w:tabs>
          <w:tab w:val="center" w:pos="4201"/>
          <w:tab w:val="right" w:leader="dot" w:pos="9298"/>
        </w:tabs>
        <w:spacing w:line="360" w:lineRule="auto"/>
        <w:ind w:firstLine="0" w:firstLineChars="0"/>
        <w:jc w:val="left"/>
        <w:rPr>
          <w:rFonts w:ascii="Times New Roman" w:hAnsi="Times New Roman" w:eastAsia="黑体" w:cs="Times New Roman"/>
          <w:sz w:val="32"/>
          <w:szCs w:val="21"/>
        </w:rPr>
      </w:pPr>
    </w:p>
    <w:p>
      <w:pPr>
        <w:pStyle w:val="45"/>
        <w:tabs>
          <w:tab w:val="center" w:pos="4201"/>
          <w:tab w:val="right" w:leader="dot" w:pos="9298"/>
        </w:tabs>
        <w:spacing w:line="360" w:lineRule="auto"/>
        <w:ind w:firstLine="0" w:firstLineChars="0"/>
        <w:jc w:val="left"/>
        <w:rPr>
          <w:rFonts w:ascii="Times New Roman" w:hAnsi="Times New Roman" w:eastAsia="黑体" w:cs="Times New Roman"/>
          <w:sz w:val="32"/>
          <w:szCs w:val="21"/>
        </w:rPr>
      </w:pPr>
      <w:r>
        <w:rPr>
          <w:rFonts w:ascii="Times New Roman" w:hAnsi="Times New Roman" w:eastAsia="黑体" w:cs="Times New Roman"/>
          <w:sz w:val="32"/>
          <w:szCs w:val="21"/>
        </w:rPr>
        <w:t>附录B</w:t>
      </w:r>
    </w:p>
    <w:p>
      <w:pPr>
        <w:jc w:val="center"/>
        <w:rPr>
          <w:rFonts w:ascii="Times New Roman" w:hAnsi="Times New Roman" w:cs="Times New Roman"/>
        </w:rPr>
      </w:pPr>
      <w:r>
        <w:rPr>
          <w:rFonts w:hint="eastAsia" w:ascii="方正小标宋简体" w:hAnsi="方正小标宋简体" w:eastAsia="方正小标宋简体" w:cs="方正小标宋简体"/>
          <w:kern w:val="0"/>
          <w:sz w:val="44"/>
          <w:szCs w:val="44"/>
        </w:rPr>
        <w:t>标准品多反应监测（</w:t>
      </w:r>
      <w:r>
        <w:rPr>
          <w:rFonts w:hint="default" w:ascii="Times New Roman" w:hAnsi="Times New Roman" w:eastAsia="方正小标宋简体" w:cs="Times New Roman"/>
          <w:kern w:val="0"/>
          <w:sz w:val="44"/>
          <w:szCs w:val="44"/>
        </w:rPr>
        <w:t>MRM</w:t>
      </w:r>
      <w:r>
        <w:rPr>
          <w:rFonts w:hint="eastAsia" w:ascii="方正小标宋简体" w:hAnsi="方正小标宋简体" w:eastAsia="方正小标宋简体" w:cs="方正小标宋简体"/>
          <w:kern w:val="0"/>
          <w:sz w:val="44"/>
          <w:szCs w:val="44"/>
        </w:rPr>
        <w:t>）色谱图</w:t>
      </w:r>
      <w:r>
        <w:rPr>
          <w:rFonts w:ascii="Times New Roman" w:hAnsi="Times New Roman" w:cs="Times New Roman"/>
        </w:rPr>
        <w:pict>
          <v:group id="组合 18" o:spid="_x0000_s1026" o:spt="203" style="height:568.75pt;width:419.95pt;" coordorigin="2099,1723" coordsize="8399,11375">
            <o:lock v:ext="edit"/>
            <v:shape id="Picture 5" o:spid="_x0000_s1027" o:spt="75" type="#_x0000_t75" style="position:absolute;left:2107;top:1734;height:2262;width:4082;"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">
              <v:path/>
              <v:fill on="f" focussize="0,0"/>
              <v:stroke on="f" joinstyle="miter"/>
              <v:imagedata r:id="rId8" o:title=""/>
              <o:lock v:ext="edit" aspectratio="f"/>
            </v:shape>
            <v:shape id="Picture 4" o:spid="_x0000_s1028" o:spt="75" type="#_x0000_t75" style="position:absolute;left:6200;top:1723;height:2262;width:4082;"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">
              <v:path/>
              <v:fill on="f" focussize="0,0"/>
              <v:stroke on="f" joinstyle="miter"/>
              <v:imagedata r:id="rId9" o:title=""/>
              <o:lock v:ext="edit" aspectratio="f"/>
            </v:shape>
            <v:shape id="Picture 13" o:spid="_x0000_s1029" o:spt="75" type="#_x0000_t75" style="position:absolute;left:2107;top:4018;height:2262;width:4082;"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">
              <v:path/>
              <v:fill on="f" focussize="0,0"/>
              <v:stroke on="f" joinstyle="miter"/>
              <v:imagedata r:id="rId10" o:title=""/>
              <o:lock v:ext="edit" aspectratio="f"/>
            </v:shape>
            <v:shape id="Picture 12" o:spid="_x0000_s1030" o:spt="75" type="#_x0000_t75" style="position:absolute;left:6200;top:4018;height:2262;width:4082;"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">
              <v:path/>
              <v:fill on="f" focussize="0,0"/>
              <v:stroke on="f" joinstyle="miter"/>
              <v:imagedata r:id="rId11" o:title=""/>
              <o:lock v:ext="edit" aspectratio="f"/>
            </v:shape>
            <v:shape id="Picture 10" o:spid="_x0000_s1031" o:spt="75" type="#_x0000_t75" style="position:absolute;left:2107;top:6294;height:2262;width:4082;"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">
              <v:path/>
              <v:fill on="f" focussize="0,0"/>
              <v:stroke on="f" joinstyle="miter"/>
              <v:imagedata r:id="rId12" o:title=""/>
              <o:lock v:ext="edit" aspectratio="f"/>
            </v:shape>
            <v:shape id="Picture 11" o:spid="_x0000_s1032" o:spt="75" type="#_x0000_t75" style="position:absolute;left:6183;top:6286;height:2262;width:4082;"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">
              <v:path/>
              <v:fill on="f" focussize="0,0"/>
              <v:stroke on="f" joinstyle="miter"/>
              <v:imagedata r:id="rId13" o:title=""/>
              <o:lock v:ext="edit" aspectratio="f"/>
            </v:shape>
            <v:shape id="Picture 9" o:spid="_x0000_s1033" o:spt="75" type="#_x0000_t75" style="position:absolute;left:2107;top:8560;height:2262;width:4082;"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">
              <v:path/>
              <v:fill on="f" focussize="0,0"/>
              <v:stroke on="f" joinstyle="miter"/>
              <v:imagedata r:id="rId14" o:title=""/>
              <o:lock v:ext="edit" aspectratio="f"/>
            </v:shape>
            <v:shape id="Picture 8" o:spid="_x0000_s1034" o:spt="75" type="#_x0000_t75" style="position:absolute;left:6183;top:8558;height:2262;width:4082;"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">
              <v:path/>
              <v:fill on="f" focussize="0,0"/>
              <v:stroke on="f" joinstyle="miter"/>
              <v:imagedata r:id="rId15" o:title=""/>
              <o:lock v:ext="edit" aspectratio="f"/>
            </v:shape>
            <v:shape id="Picture 7" o:spid="_x0000_s1035" o:spt="75" type="#_x0000_t75" style="position:absolute;left:2099;top:10836;height:2262;width:4082;"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">
              <v:path/>
              <v:fill on="f" focussize="0,0"/>
              <v:stroke on="f" joinstyle="miter"/>
              <v:imagedata r:id="rId16" o:title=""/>
              <o:lock v:ext="edit" aspectratio="f"/>
            </v:shape>
            <v:group id="组合 14" o:spid="_x0000_s1036" o:spt="203" style="position:absolute;left:4902;top:1781;height:11310;width:5596;" coordorigin="12078,1833" coordsize="5596,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o:lock v:ext="edit"/>
              <v:shape id="Picture 6" o:spid="_x0000_s1037" o:spt="75" type="#_x0000_t75" style="position:absolute;left:13359;top:10881;height:2262;width:4082;"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">
                <v:path/>
                <v:fill on="f" focussize="0,0"/>
                <v:stroke on="f" joinstyle="miter"/>
                <v:imagedata r:id="rId17" o:title=""/>
                <o:lock v:ext="edit" aspectratio="f"/>
              </v:shape>
              <v:shape id="文本框 27" o:spid="_x0000_s1038" o:spt="202" type="#_x0000_t202" style="position:absolute;left:12139;top:1902;height:791;width:1233;"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v:path/>
                <v:fill on="f" focussize="0,0"/>
                <v:stroke on="f" weight="0.5pt" joinstyle="miter"/>
                <v:imagedata o:title=""/>
                <o:lock v:ext="edit"/>
                <v:textbox>
                  <w:txbxContent>
                    <w:p>
                      <w:pPr>
                        <w:rPr>
                          <w:rFonts w:eastAsia="宋体"/>
                          <w:sz w:val="18"/>
                          <w:szCs w:val="18"/>
                        </w:rPr>
                      </w:pPr>
                      <w:r>
                        <w:rPr>
                          <w:rFonts w:hint="eastAsia" w:eastAsia="宋体"/>
                          <w:sz w:val="18"/>
                          <w:szCs w:val="18"/>
                        </w:rPr>
                        <w:t>妥拉唑林</w:t>
                      </w:r>
                    </w:p>
                    <w:p>
                      <w:pPr>
                        <w:rPr>
                          <w:rFonts w:ascii="Times New Roman" w:hAnsi="Times New Roman" w:eastAsia="宋体" w:cs="Times New Roman"/>
                          <w:color w:val="FFFFFF" w:themeColor="background1"/>
                          <w:sz w:val="18"/>
                          <w:szCs w:val="18"/>
                        </w:rPr>
                      </w:pPr>
                      <w:r>
                        <w:rPr>
                          <w:rFonts w:ascii="Times New Roman" w:hAnsi="Times New Roman" w:eastAsia="宋体" w:cs="Times New Roman"/>
                          <w:kern w:val="0"/>
                          <w:sz w:val="18"/>
                          <w:szCs w:val="18"/>
                        </w:rPr>
                        <w:t>161.2&gt;65.1</w:t>
                      </w:r>
                      <w:r>
                        <w:rPr>
                          <w:rFonts w:ascii="Times New Roman" w:hAnsi="Times New Roman"/>
                          <w:kern w:val="24"/>
                          <w:sz w:val="18"/>
                          <w:szCs w:val="18"/>
                          <w:vertAlign w:val="superscript"/>
                        </w:rPr>
                        <w:t xml:space="preserve">* </w:t>
                      </w:r>
                    </w:p>
                  </w:txbxContent>
                </v:textbox>
              </v:shape>
              <v:shape id="文本框 25" o:spid="_x0000_s1039" o:spt="202" type="#_x0000_t202" style="position:absolute;left:12078;top:4135;height:777;width:1292;"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v:path/>
                <v:fill on="f" focussize="0,0"/>
                <v:stroke on="f" weight="0.5pt" joinstyle="miter"/>
                <v:imagedata o:title=""/>
                <o:lock v:ext="edit"/>
                <v:textbox>
                  <w:txbxContent>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特拉唑嗪</w:t>
                      </w:r>
                    </w:p>
                    <w:p>
                      <w:pPr>
                        <w:rPr>
                          <w:rFonts w:ascii="Times New Roman" w:hAnsi="Times New Roman" w:eastAsia="宋体" w:cs="Times New Roman"/>
                          <w:sz w:val="18"/>
                          <w:szCs w:val="18"/>
                        </w:rPr>
                      </w:pPr>
                      <w:r>
                        <w:rPr>
                          <w:rFonts w:ascii="Times New Roman" w:hAnsi="Times New Roman" w:eastAsia="宋体" w:cs="Times New Roman"/>
                          <w:kern w:val="0"/>
                          <w:sz w:val="18"/>
                          <w:szCs w:val="18"/>
                        </w:rPr>
                        <w:t>388.1&gt;</w:t>
                      </w:r>
                      <w:r>
                        <w:rPr>
                          <w:rFonts w:hint="eastAsia" w:ascii="Times New Roman" w:hAnsi="Times New Roman" w:eastAsia="宋体" w:cs="Times New Roman"/>
                          <w:kern w:val="0"/>
                          <w:sz w:val="18"/>
                          <w:szCs w:val="18"/>
                        </w:rPr>
                        <w:t>247.1</w:t>
                      </w:r>
                      <w:r>
                        <w:rPr>
                          <w:rFonts w:ascii="Times New Roman" w:hAnsi="Times New Roman"/>
                          <w:kern w:val="24"/>
                          <w:szCs w:val="21"/>
                          <w:vertAlign w:val="superscript"/>
                        </w:rPr>
                        <w:t xml:space="preserve">* </w:t>
                      </w:r>
                    </w:p>
                  </w:txbxContent>
                </v:textbox>
              </v:shape>
              <v:shape id="文本框 28" o:spid="_x0000_s1040" o:spt="202" type="#_x0000_t202" style="position:absolute;left:12093;top:6305;height:777;width:141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v:path/>
                <v:fill on="f" focussize="0,0"/>
                <v:stroke on="f" weight="0.5pt" joinstyle="miter"/>
                <v:imagedata o:title=""/>
                <o:lock v:ext="edit"/>
                <v:textbox>
                  <w:txbxContent>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哌唑嗪</w:t>
                      </w:r>
                    </w:p>
                    <w:p>
                      <w:pP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384.2</w:t>
                      </w:r>
                      <w:r>
                        <w:rPr>
                          <w:rFonts w:ascii="Times New Roman" w:hAnsi="Times New Roman" w:eastAsia="宋体" w:cs="Times New Roman"/>
                          <w:kern w:val="0"/>
                          <w:sz w:val="18"/>
                          <w:szCs w:val="18"/>
                        </w:rPr>
                        <w:t>&gt;</w:t>
                      </w:r>
                      <w:r>
                        <w:rPr>
                          <w:rFonts w:hint="eastAsia" w:ascii="Times New Roman" w:hAnsi="Times New Roman" w:eastAsia="宋体" w:cs="Times New Roman"/>
                          <w:kern w:val="0"/>
                          <w:sz w:val="18"/>
                          <w:szCs w:val="18"/>
                        </w:rPr>
                        <w:t>247.0</w:t>
                      </w:r>
                      <w:r>
                        <w:rPr>
                          <w:rFonts w:ascii="Times New Roman" w:hAnsi="Times New Roman"/>
                          <w:kern w:val="24"/>
                          <w:szCs w:val="21"/>
                          <w:vertAlign w:val="superscript"/>
                        </w:rPr>
                        <w:t xml:space="preserve">* </w:t>
                      </w:r>
                    </w:p>
                  </w:txbxContent>
                </v:textbox>
              </v:shape>
              <v:shape id="文本框 28" o:spid="_x0000_s1041" o:spt="202" type="#_x0000_t202" style="position:absolute;left:12108;top:8630;height:777;width:132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">
                <v:path/>
                <v:fill on="f" focussize="0,0"/>
                <v:stroke on="f" weight="0.5pt" joinstyle="miter"/>
                <v:imagedata o:title=""/>
                <o:lock v:ext="edit"/>
                <v:textbox>
                  <w:txbxContent>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育亨宾</w:t>
                      </w:r>
                    </w:p>
                    <w:p>
                      <w:pPr>
                        <w:rPr>
                          <w:rFonts w:ascii="Times New Roman" w:hAnsi="Times New Roman" w:eastAsia="宋体" w:cs="Times New Roman"/>
                          <w:sz w:val="18"/>
                          <w:szCs w:val="18"/>
                        </w:rPr>
                      </w:pPr>
                      <w:r>
                        <w:rPr>
                          <w:rFonts w:ascii="Times New Roman" w:hAnsi="Times New Roman" w:eastAsia="宋体" w:cs="Times New Roman"/>
                          <w:kern w:val="0"/>
                          <w:sz w:val="18"/>
                          <w:szCs w:val="18"/>
                        </w:rPr>
                        <w:t>355.2&gt;</w:t>
                      </w:r>
                      <w:r>
                        <w:rPr>
                          <w:rFonts w:hint="eastAsia" w:ascii="Times New Roman" w:hAnsi="Times New Roman" w:eastAsia="宋体" w:cs="Times New Roman"/>
                          <w:kern w:val="0"/>
                          <w:sz w:val="18"/>
                          <w:szCs w:val="18"/>
                        </w:rPr>
                        <w:t>144.2</w:t>
                      </w:r>
                      <w:r>
                        <w:rPr>
                          <w:rFonts w:ascii="Times New Roman" w:hAnsi="Times New Roman"/>
                          <w:kern w:val="24"/>
                          <w:szCs w:val="21"/>
                          <w:vertAlign w:val="superscript"/>
                        </w:rPr>
                        <w:t>*</w:t>
                      </w:r>
                    </w:p>
                  </w:txbxContent>
                </v:textbox>
              </v:shape>
              <v:shape id="文本框 32" o:spid="_x0000_s1042" o:spt="202" type="#_x0000_t202" style="position:absolute;left:12173;top:10915;height:777;width:1242;"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v:path/>
                <v:fill on="f" focussize="0,0"/>
                <v:stroke on="f" weight="0.5pt" joinstyle="miter"/>
                <v:imagedata o:title=""/>
                <o:lock v:ext="edit"/>
                <v:textbox>
                  <w:txbxContent>
                    <w:p>
                      <w:pPr>
                        <w:jc w:val="left"/>
                        <w:rPr>
                          <w:rFonts w:ascii="Times New Roman" w:hAnsi="Times New Roman" w:eastAsia="宋体" w:cs="Times New Roman"/>
                          <w:sz w:val="18"/>
                          <w:szCs w:val="18"/>
                        </w:rPr>
                      </w:pPr>
                      <w:r>
                        <w:rPr>
                          <w:rFonts w:hint="eastAsia" w:ascii="Times New Roman" w:hAnsi="Times New Roman" w:eastAsia="宋体" w:cs="Times New Roman"/>
                          <w:kern w:val="0"/>
                          <w:sz w:val="18"/>
                          <w:szCs w:val="18"/>
                        </w:rPr>
                        <w:t>酚妥拉明282.1</w:t>
                      </w:r>
                      <w:r>
                        <w:rPr>
                          <w:rFonts w:ascii="Times New Roman" w:hAnsi="Times New Roman" w:eastAsia="宋体" w:cs="Times New Roman"/>
                          <w:kern w:val="0"/>
                          <w:sz w:val="18"/>
                          <w:szCs w:val="18"/>
                        </w:rPr>
                        <w:t>&gt;</w:t>
                      </w:r>
                      <w:r>
                        <w:rPr>
                          <w:rFonts w:hint="eastAsia" w:ascii="Times New Roman" w:hAnsi="Times New Roman" w:eastAsia="宋体" w:cs="Times New Roman"/>
                          <w:kern w:val="0"/>
                          <w:sz w:val="18"/>
                          <w:szCs w:val="18"/>
                        </w:rPr>
                        <w:t>91.0</w:t>
                      </w:r>
                      <w:r>
                        <w:rPr>
                          <w:rFonts w:ascii="Times New Roman" w:hAnsi="Times New Roman"/>
                          <w:kern w:val="24"/>
                          <w:szCs w:val="21"/>
                          <w:vertAlign w:val="superscript"/>
                        </w:rPr>
                        <w:t xml:space="preserve">* </w:t>
                      </w:r>
                    </w:p>
                  </w:txbxContent>
                </v:textbox>
              </v:shape>
              <v:shape id="文本框 24" o:spid="_x0000_s1043" o:spt="202" type="#_x0000_t202" style="position:absolute;left:16278;top:1833;height:777;width:139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v:path/>
                <v:fill on="f" focussize="0,0"/>
                <v:stroke on="f" weight="0.5pt" joinstyle="miter"/>
                <v:imagedata o:title=""/>
                <o:lock v:ext="edit"/>
                <v:textbox>
                  <w:txbxContent>
                    <w:p>
                      <w:pPr>
                        <w:rPr>
                          <w:rFonts w:eastAsia="宋体"/>
                          <w:sz w:val="18"/>
                          <w:szCs w:val="18"/>
                        </w:rPr>
                      </w:pPr>
                      <w:r>
                        <w:rPr>
                          <w:rFonts w:hint="eastAsia" w:eastAsia="宋体"/>
                          <w:sz w:val="18"/>
                          <w:szCs w:val="18"/>
                        </w:rPr>
                        <w:t>妥拉唑林</w:t>
                      </w:r>
                    </w:p>
                    <w:p>
                      <w:pPr>
                        <w:rPr>
                          <w:rFonts w:ascii="Times New Roman" w:hAnsi="Times New Roman" w:eastAsia="宋体" w:cs="Times New Roman"/>
                          <w:sz w:val="18"/>
                          <w:szCs w:val="18"/>
                        </w:rPr>
                      </w:pPr>
                      <w:r>
                        <w:rPr>
                          <w:rFonts w:ascii="Times New Roman" w:hAnsi="Times New Roman" w:eastAsia="宋体" w:cs="Times New Roman"/>
                          <w:kern w:val="0"/>
                          <w:sz w:val="18"/>
                          <w:szCs w:val="18"/>
                        </w:rPr>
                        <w:t>161.2&gt;</w:t>
                      </w:r>
                      <w:r>
                        <w:rPr>
                          <w:rFonts w:hint="eastAsia" w:ascii="Times New Roman" w:hAnsi="Times New Roman" w:eastAsia="宋体" w:cs="Times New Roman"/>
                          <w:kern w:val="0"/>
                          <w:sz w:val="18"/>
                          <w:szCs w:val="18"/>
                        </w:rPr>
                        <w:t>90.5</w:t>
                      </w:r>
                    </w:p>
                  </w:txbxContent>
                </v:textbox>
              </v:shape>
              <v:shape id="文本框 26" o:spid="_x0000_s1044" o:spt="202" type="#_x0000_t202" style="position:absolute;left:16203;top:4149;height:777;width:139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v:path/>
                <v:fill on="f" focussize="0,0"/>
                <v:stroke on="f" weight="0.5pt" joinstyle="miter"/>
                <v:imagedata o:title=""/>
                <o:lock v:ext="edit"/>
                <v:textbox>
                  <w:txbxContent>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特拉唑嗪</w:t>
                      </w:r>
                    </w:p>
                    <w:p>
                      <w:pPr>
                        <w:rPr>
                          <w:rFonts w:ascii="Times New Roman" w:hAnsi="Times New Roman" w:eastAsia="宋体" w:cs="Times New Roman"/>
                          <w:sz w:val="18"/>
                          <w:szCs w:val="18"/>
                        </w:rPr>
                      </w:pPr>
                      <w:r>
                        <w:rPr>
                          <w:rFonts w:ascii="Times New Roman" w:hAnsi="Times New Roman" w:eastAsia="宋体" w:cs="Times New Roman"/>
                          <w:kern w:val="0"/>
                          <w:sz w:val="18"/>
                          <w:szCs w:val="18"/>
                        </w:rPr>
                        <w:t>388.1&gt;</w:t>
                      </w:r>
                      <w:r>
                        <w:rPr>
                          <w:rFonts w:hint="eastAsia" w:ascii="Times New Roman" w:hAnsi="Times New Roman" w:eastAsia="宋体" w:cs="Times New Roman"/>
                          <w:kern w:val="0"/>
                          <w:sz w:val="18"/>
                          <w:szCs w:val="18"/>
                        </w:rPr>
                        <w:t>290.2</w:t>
                      </w:r>
                    </w:p>
                  </w:txbxContent>
                </v:textbox>
              </v:shape>
              <v:shape id="文本框 29" o:spid="_x0000_s1045" o:spt="202" type="#_x0000_t202" style="position:absolute;left:16203;top:6432;height:777;width:139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v:path/>
                <v:fill on="f" focussize="0,0"/>
                <v:stroke on="f" weight="0.5pt" joinstyle="miter"/>
                <v:imagedata o:title=""/>
                <o:lock v:ext="edit"/>
                <v:textbox>
                  <w:txbxContent>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哌唑嗪</w:t>
                      </w:r>
                    </w:p>
                    <w:p>
                      <w:pP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384.2</w:t>
                      </w:r>
                      <w:r>
                        <w:rPr>
                          <w:rFonts w:ascii="Times New Roman" w:hAnsi="Times New Roman" w:eastAsia="宋体" w:cs="Times New Roman"/>
                          <w:kern w:val="0"/>
                          <w:sz w:val="18"/>
                          <w:szCs w:val="18"/>
                        </w:rPr>
                        <w:t>&gt;</w:t>
                      </w:r>
                      <w:r>
                        <w:rPr>
                          <w:rFonts w:hint="eastAsia" w:ascii="Times New Roman" w:hAnsi="Times New Roman" w:eastAsia="宋体" w:cs="Times New Roman"/>
                          <w:kern w:val="0"/>
                          <w:sz w:val="18"/>
                          <w:szCs w:val="18"/>
                        </w:rPr>
                        <w:t>366.2</w:t>
                      </w:r>
                    </w:p>
                  </w:txbxContent>
                </v:textbox>
              </v:shape>
              <v:shape id="文本框 31" o:spid="_x0000_s1046" o:spt="202" type="#_x0000_t202" style="position:absolute;left:16208;top:8712;height:777;width:139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">
                <v:path/>
                <v:fill on="f" focussize="0,0"/>
                <v:stroke on="f" weight="0.5pt" joinstyle="miter"/>
                <v:imagedata o:title=""/>
                <o:lock v:ext="edit"/>
                <v:textbox>
                  <w:txbxContent>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育亨宾</w:t>
                      </w:r>
                    </w:p>
                    <w:p>
                      <w:pPr>
                        <w:rPr>
                          <w:rFonts w:ascii="Times New Roman" w:hAnsi="Times New Roman" w:eastAsia="宋体" w:cs="Times New Roman"/>
                          <w:sz w:val="18"/>
                          <w:szCs w:val="18"/>
                        </w:rPr>
                      </w:pPr>
                      <w:r>
                        <w:rPr>
                          <w:rFonts w:ascii="Times New Roman" w:hAnsi="Times New Roman" w:eastAsia="宋体" w:cs="Times New Roman"/>
                          <w:kern w:val="0"/>
                          <w:sz w:val="18"/>
                          <w:szCs w:val="18"/>
                        </w:rPr>
                        <w:t>355.2&gt;</w:t>
                      </w:r>
                      <w:r>
                        <w:rPr>
                          <w:rFonts w:hint="eastAsia" w:ascii="Times New Roman" w:hAnsi="Times New Roman" w:eastAsia="宋体" w:cs="Times New Roman"/>
                          <w:kern w:val="0"/>
                          <w:sz w:val="18"/>
                          <w:szCs w:val="18"/>
                        </w:rPr>
                        <w:t>212.0</w:t>
                      </w:r>
                    </w:p>
                  </w:txbxContent>
                </v:textbox>
              </v:shape>
              <v:shape id="文本框 32" o:spid="_x0000_s1047" o:spt="202" type="#_x0000_t202" style="position:absolute;left:16238;top:11035;height:777;width:1242;"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">
                <v:path/>
                <v:fill on="f" focussize="0,0"/>
                <v:stroke on="f" weight="0.5pt" joinstyle="miter"/>
                <v:imagedata o:title=""/>
                <o:lock v:ext="edit"/>
                <v:textbox>
                  <w:txbxContent>
                    <w:p>
                      <w:pPr>
                        <w:jc w:val="left"/>
                        <w:rPr>
                          <w:rFonts w:ascii="Times New Roman" w:hAnsi="Times New Roman" w:eastAsia="宋体" w:cs="Times New Roman"/>
                          <w:sz w:val="18"/>
                          <w:szCs w:val="18"/>
                        </w:rPr>
                      </w:pPr>
                      <w:r>
                        <w:rPr>
                          <w:rFonts w:hint="eastAsia" w:ascii="Times New Roman" w:hAnsi="Times New Roman" w:eastAsia="宋体" w:cs="Times New Roman"/>
                          <w:kern w:val="0"/>
                          <w:sz w:val="18"/>
                          <w:szCs w:val="18"/>
                        </w:rPr>
                        <w:t>酚妥拉明282.1</w:t>
                      </w:r>
                      <w:r>
                        <w:rPr>
                          <w:rFonts w:ascii="Times New Roman" w:hAnsi="Times New Roman" w:eastAsia="宋体" w:cs="Times New Roman"/>
                          <w:kern w:val="0"/>
                          <w:sz w:val="18"/>
                          <w:szCs w:val="18"/>
                        </w:rPr>
                        <w:t>&gt;</w:t>
                      </w:r>
                      <w:r>
                        <w:rPr>
                          <w:rFonts w:hint="eastAsia" w:ascii="Times New Roman" w:hAnsi="Times New Roman" w:eastAsia="宋体" w:cs="Times New Roman"/>
                          <w:kern w:val="0"/>
                          <w:sz w:val="18"/>
                          <w:szCs w:val="18"/>
                        </w:rPr>
                        <w:t>212.0</w:t>
                      </w:r>
                    </w:p>
                    <w:p>
                      <w:pPr>
                        <w:jc w:val="left"/>
                        <w:rPr>
                          <w:rFonts w:ascii="Times New Roman" w:hAnsi="Times New Roman" w:eastAsia="宋体" w:cs="Times New Roman"/>
                          <w:sz w:val="18"/>
                          <w:szCs w:val="18"/>
                        </w:rPr>
                      </w:pPr>
                    </w:p>
                  </w:txbxContent>
                </v:textbox>
              </v:shape>
            </v:group>
            <w10:wrap type="none"/>
            <w10:anchorlock/>
          </v:group>
        </w:pict>
      </w:r>
    </w:p>
    <w:p>
      <w:pPr>
        <w:spacing w:line="360" w:lineRule="auto"/>
        <w:rPr>
          <w:rFonts w:ascii="Times New Roman" w:hAnsi="Times New Roman" w:eastAsia="宋体" w:cs="Times New Roman"/>
          <w:sz w:val="18"/>
          <w:szCs w:val="18"/>
        </w:rPr>
      </w:pPr>
      <w:r>
        <w:rPr>
          <w:rFonts w:ascii="Times New Roman" w:hAnsi="Times New Roman" w:eastAsia="宋体" w:cs="Times New Roman"/>
          <w:kern w:val="24"/>
          <w:sz w:val="18"/>
          <w:szCs w:val="18"/>
          <w:vertAlign w:val="superscript"/>
        </w:rPr>
        <w:t xml:space="preserve">* </w:t>
      </w:r>
      <w:r>
        <w:rPr>
          <w:rFonts w:hint="eastAsia" w:ascii="Times New Roman" w:hAnsi="Times New Roman" w:eastAsia="宋体" w:cs="Times New Roman"/>
          <w:kern w:val="24"/>
          <w:sz w:val="18"/>
          <w:szCs w:val="18"/>
        </w:rPr>
        <w:t>为</w:t>
      </w:r>
      <w:r>
        <w:rPr>
          <w:rFonts w:ascii="Times New Roman" w:hAnsi="Times New Roman" w:eastAsia="宋体" w:cs="Times New Roman"/>
          <w:sz w:val="18"/>
          <w:szCs w:val="18"/>
        </w:rPr>
        <w:t>定量离子对。</w:t>
      </w:r>
    </w:p>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图B 标准品多反应监测（MRM）色谱图</w:t>
      </w:r>
    </w:p>
    <w:p>
      <w:pPr>
        <w:spacing w:line="360" w:lineRule="auto"/>
        <w:jc w:val="center"/>
        <w:rPr>
          <w:rFonts w:ascii="Times New Roman" w:hAnsi="Times New Roman" w:eastAsia="黑体" w:cs="Times New Roman"/>
          <w:szCs w:val="21"/>
        </w:rPr>
      </w:pPr>
      <w:bookmarkStart w:id="1" w:name="_GoBack"/>
      <w:bookmarkEnd w:id="1"/>
    </w:p>
    <w:p>
      <w:pPr>
        <w:spacing w:line="360" w:lineRule="auto"/>
        <w:jc w:val="center"/>
        <w:rPr>
          <w:rFonts w:ascii="Times New Roman" w:hAnsi="Times New Roman" w:eastAsia="黑体" w:cs="Times New Roman"/>
          <w:szCs w:val="21"/>
        </w:rPr>
      </w:pPr>
    </w:p>
    <w:p>
      <w:pPr>
        <w:spacing w:line="360" w:lineRule="auto"/>
        <w:jc w:val="left"/>
        <w:rPr>
          <w:rFonts w:cs="Times New Roman" w:asciiTheme="minorEastAsia" w:hAnsiTheme="minorEastAsia" w:eastAsiaTheme="minorEastAsia"/>
          <w:bCs/>
          <w:kern w:val="0"/>
          <w:szCs w:val="21"/>
        </w:rPr>
      </w:pPr>
      <w:r>
        <w:rPr>
          <w:rFonts w:cs="Times New Roman" w:asciiTheme="minorEastAsia" w:hAnsiTheme="minorEastAsia" w:eastAsiaTheme="minorEastAsia"/>
          <w:bCs/>
          <w:kern w:val="0"/>
          <w:szCs w:val="21"/>
        </w:rPr>
        <w:t>本方法负责起草单位：陕西省食品药品监督检验研究院。</w:t>
      </w:r>
    </w:p>
    <w:p>
      <w:pPr>
        <w:spacing w:line="360" w:lineRule="auto"/>
        <w:jc w:val="left"/>
        <w:rPr>
          <w:rFonts w:cs="Times New Roman" w:asciiTheme="minorEastAsia" w:hAnsiTheme="minorEastAsia" w:eastAsiaTheme="minorEastAsia"/>
          <w:bCs/>
          <w:kern w:val="0"/>
          <w:szCs w:val="21"/>
        </w:rPr>
      </w:pPr>
      <w:r>
        <w:rPr>
          <w:rFonts w:cs="Times New Roman" w:asciiTheme="minorEastAsia" w:hAnsiTheme="minorEastAsia" w:eastAsiaTheme="minorEastAsia"/>
          <w:bCs/>
          <w:kern w:val="0"/>
          <w:szCs w:val="21"/>
        </w:rPr>
        <w:t>验证单位：</w:t>
      </w:r>
      <w:r>
        <w:rPr>
          <w:rFonts w:cs="Times New Roman" w:asciiTheme="minorEastAsia" w:hAnsiTheme="minorEastAsia" w:eastAsiaTheme="minorEastAsia"/>
          <w:color w:val="000000" w:themeColor="text1"/>
          <w:szCs w:val="21"/>
        </w:rPr>
        <w:t>浙江省食品药品检验所、吉林省食品检验所、上海市食品药品检验所、江南大学、汉中市食品药品检验检测中心</w:t>
      </w:r>
      <w:r>
        <w:rPr>
          <w:rFonts w:cs="Times New Roman" w:asciiTheme="minorEastAsia" w:hAnsiTheme="minorEastAsia" w:eastAsiaTheme="minorEastAsia"/>
          <w:bCs/>
          <w:kern w:val="0"/>
          <w:szCs w:val="21"/>
        </w:rPr>
        <w:t>。</w:t>
      </w:r>
    </w:p>
    <w:p>
      <w:pPr>
        <w:spacing w:line="360" w:lineRule="auto"/>
        <w:jc w:val="left"/>
        <w:rPr>
          <w:rFonts w:cs="Times New Roman" w:asciiTheme="minorEastAsia" w:hAnsiTheme="minorEastAsia" w:eastAsiaTheme="minorEastAsia"/>
          <w:color w:val="000000" w:themeColor="text1"/>
          <w:szCs w:val="21"/>
        </w:rPr>
      </w:pPr>
      <w:r>
        <w:rPr>
          <w:rFonts w:hint="eastAsia" w:cs="Times New Roman" w:asciiTheme="minorEastAsia" w:hAnsiTheme="minorEastAsia" w:eastAsiaTheme="minorEastAsia"/>
          <w:color w:val="000000" w:themeColor="text1"/>
          <w:szCs w:val="21"/>
        </w:rPr>
        <w:t>主要起草人：李涛、林芳、王建山、刘海静、孙秀兰、张乾。</w:t>
      </w:r>
    </w:p>
    <w:sectPr>
      <w:footerReference r:id="rId3" w:type="default"/>
      <w:footerReference r:id="rId4" w:type="even"/>
      <w:pgSz w:w="11908" w:h="16838"/>
      <w:pgMar w:top="1440" w:right="1531" w:bottom="1440" w:left="1531" w:header="851" w:footer="737" w:gutter="0"/>
      <w:pgNumType w:fmt="decimalFullWidt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书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sz w:val="28"/>
        <w:szCs w:val="28"/>
      </w:rPr>
    </w:pPr>
    <w:r>
      <w:rPr>
        <w:sz w:val="28"/>
      </w:rPr>
      <w:pict>
        <v:shape id="文本框 8"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S8wK4HQIAABwEAAAOAAAAAAAAAAAAAAAAAC4CAABkcnMvZTJvRG9jLnhtbFBLAQItABQABgAI&#10;AAAAIQBxqtG51wAAAAUBAAAPAAAAAAAAAAAAAAAAAHcEAABkcnMvZG93bnJldi54bWxQSwUGAAAA&#10;AAQABADzAAAAewUAAAAA&#10;">
          <v:path/>
          <v:fill on="f" focussize="0,0"/>
          <v:stroke on="f" weight="0.5pt" joinstyle="miter"/>
          <v:imagedata o:title=""/>
          <o:lock v:ext="edit"/>
          <v:textbox inset="0mm,0mm,0mm,0mm" style="mso-fit-shape-to-text:t;">
            <w:txbxContent>
              <w:p>
                <w:pPr>
                  <w:pStyle w:val="1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５</w:t>
                </w:r>
                <w:r>
                  <w:rPr>
                    <w:rFonts w:hint="eastAsia" w:eastAsia="宋体"/>
                  </w:rPr>
                  <w:fldChar w:fldCharType="end"/>
                </w:r>
              </w:p>
            </w:txbxContent>
          </v:textbox>
        </v:shape>
      </w:pict>
    </w:r>
    <w:r>
      <w:rPr>
        <w:sz w:val="28"/>
      </w:rPr>
      <w:pict>
        <v:shape id="文本框 3"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APHw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yVDWzpQnVOtMLxdv+brBjzbMh0fmoA9UAc2HByyVNMhsLhYltXGf&#10;/3Yf49E2eClpobeCagwEJfKdRjujNAfDDcZuMPRB3RkIeIxZsjyZeOCCHMzKGfUJg7CKOeBimiNT&#10;QcNg3oVe8xgkLlarFAQBWhY2emt5hI4sebs6BLCayI7c9EygSfEACaZ2XcYlavzXc4p6HurlE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LvMkA8fAgAAHAQAAA4AAAAAAAAAAAAAAAAALgIAAGRycy9lMm9Eb2MueG1sUEsBAi0AFAAG&#10;AAgAAAAhAHGq0bnXAAAABQEAAA8AAAAAAAAAAAAAAAAAeQQAAGRycy9kb3ducmV2LnhtbFBLBQYA&#10;AAAABAAEAPMAAAB9BQAAAAA=&#10;">
          <v:path/>
          <v:fill on="f" focussize="0,0"/>
          <v:stroke on="f" weight="0.5pt" joinstyle="miter"/>
          <v:imagedata o:title=""/>
          <o:lock v:ext="edit"/>
          <v:textbox inset="0mm,0mm,0mm,0mm" style="mso-fit-shape-to-text:t;">
            <w:txbxContent>
              <w:p>
                <w:pPr>
                  <w:pStyle w:val="10"/>
                  <w:rPr>
                    <w:rFonts w:eastAsia="宋体"/>
                  </w:rPr>
                </w:pP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8"/>
        <w:szCs w:val="28"/>
      </w:rPr>
    </w:pPr>
    <w:r>
      <w:rPr>
        <w:sz w:val="28"/>
      </w:rPr>
      <w:pict>
        <v:shape id="文本框 14" o:spid="_x0000_s2051" o:spt="202" type="#_x0000_t202" style="position:absolute;left:0pt;margin-top:0pt;height:144pt;width:144pt;mso-position-horizontal:outside;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9KHAIAABc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ik70ocAgAAFwQAAA4AAAAAAAAAAAAAAAAALgIAAGRycy9lMm9Eb2MueG1sUEsBAi0AFAAGAAgA&#10;AAAhAHGq0bnXAAAABQEAAA8AAAAAAAAAAAAAAAAAdgQAAGRycy9kb3ducmV2LnhtbFBLBQYAAAAA&#10;BAAEAPMAAAB6BQAAAAA=&#10;">
          <v:path/>
          <v:fill on="f" focussize="0,0"/>
          <v:stroke on="f" weight="0.5pt" joinstyle="miter"/>
          <v:imagedata o:title=""/>
          <o:lock v:ext="edit"/>
          <v:textbox inset="0mm,0mm,0mm,0mm" style="mso-fit-shape-to-text:t;">
            <w:txbxContent>
              <w:p>
                <w:pPr>
                  <w:pStyle w:val="1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４</w:t>
                </w:r>
                <w:r>
                  <w:rPr>
                    <w:rFonts w:hint="eastAsia" w:eastAsia="宋体"/>
                  </w:rPr>
                  <w:fldChar w:fldCharType="end"/>
                </w:r>
              </w:p>
            </w:txbxContent>
          </v:textbox>
        </v:shape>
      </w:pic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38D6E"/>
    <w:multiLevelType w:val="multilevel"/>
    <w:tmpl w:val="58038D6E"/>
    <w:lvl w:ilvl="0" w:tentative="0">
      <w:start w:val="1"/>
      <w:numFmt w:val="decimal"/>
      <w:pStyle w:val="61"/>
      <w:lvlText w:val="[%1]"/>
      <w:lvlJc w:val="right"/>
      <w:pPr>
        <w:tabs>
          <w:tab w:val="left" w:pos="397"/>
        </w:tabs>
        <w:ind w:left="397" w:hanging="113"/>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038D8F"/>
    <w:multiLevelType w:val="multilevel"/>
    <w:tmpl w:val="58038D8F"/>
    <w:lvl w:ilvl="0" w:tentative="0">
      <w:start w:val="1"/>
      <w:numFmt w:val="none"/>
      <w:pStyle w:val="60"/>
      <w:suff w:val="nothing"/>
      <w:lvlText w:val="%1"/>
      <w:lvlJc w:val="left"/>
      <w:pPr>
        <w:ind w:left="0" w:firstLine="0"/>
      </w:pPr>
      <w:rPr>
        <w:rFonts w:hint="default" w:ascii="Times New Roman" w:hAnsi="Times New Roman"/>
        <w:b/>
        <w:i w:val="0"/>
        <w:sz w:val="21"/>
      </w:rPr>
    </w:lvl>
    <w:lvl w:ilvl="1" w:tentative="0">
      <w:start w:val="1"/>
      <w:numFmt w:val="decimal"/>
      <w:pStyle w:val="44"/>
      <w:suff w:val="nothing"/>
      <w:lvlText w:val="%1%2　"/>
      <w:lvlJc w:val="left"/>
      <w:pPr>
        <w:ind w:left="191" w:firstLine="0"/>
      </w:pPr>
      <w:rPr>
        <w:rFonts w:hint="eastAsia" w:ascii="黑体" w:hAnsi="Times New Roman" w:eastAsia="黑体"/>
        <w:b w:val="0"/>
        <w:i w:val="0"/>
        <w:sz w:val="21"/>
      </w:rPr>
    </w:lvl>
    <w:lvl w:ilvl="2" w:tentative="0">
      <w:start w:val="1"/>
      <w:numFmt w:val="decimal"/>
      <w:suff w:val="nothing"/>
      <w:lvlText w:val="%1%2.%3　"/>
      <w:lvlJc w:val="left"/>
      <w:pPr>
        <w:ind w:left="19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8038D9A"/>
    <w:multiLevelType w:val="multilevel"/>
    <w:tmpl w:val="58038D9A"/>
    <w:lvl w:ilvl="0" w:tentative="0">
      <w:start w:val="1"/>
      <w:numFmt w:val="decimal"/>
      <w:lvlText w:val="%1"/>
      <w:lvlJc w:val="left"/>
      <w:pPr>
        <w:tabs>
          <w:tab w:val="left" w:pos="360"/>
        </w:tabs>
        <w:ind w:left="360" w:hanging="360"/>
      </w:pPr>
      <w:rPr>
        <w:rFonts w:hint="eastAsia"/>
      </w:rPr>
    </w:lvl>
    <w:lvl w:ilvl="1" w:tentative="0">
      <w:start w:val="6"/>
      <w:numFmt w:val="decimal"/>
      <w:lvlText w:val="%2."/>
      <w:lvlJc w:val="left"/>
      <w:pPr>
        <w:ind w:left="360" w:hanging="360"/>
      </w:pPr>
      <w:rPr>
        <w:rFonts w:hint="default"/>
      </w:r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B3E20"/>
    <w:rsid w:val="00000762"/>
    <w:rsid w:val="000047C8"/>
    <w:rsid w:val="00010693"/>
    <w:rsid w:val="000140C9"/>
    <w:rsid w:val="00014F60"/>
    <w:rsid w:val="000170F3"/>
    <w:rsid w:val="00017509"/>
    <w:rsid w:val="00017FFA"/>
    <w:rsid w:val="0002095A"/>
    <w:rsid w:val="00024518"/>
    <w:rsid w:val="000310CE"/>
    <w:rsid w:val="00032DCC"/>
    <w:rsid w:val="0003656D"/>
    <w:rsid w:val="000416E2"/>
    <w:rsid w:val="0004313B"/>
    <w:rsid w:val="00044AF2"/>
    <w:rsid w:val="00045493"/>
    <w:rsid w:val="0005010A"/>
    <w:rsid w:val="00056568"/>
    <w:rsid w:val="00056B1F"/>
    <w:rsid w:val="00057122"/>
    <w:rsid w:val="00062105"/>
    <w:rsid w:val="0006271D"/>
    <w:rsid w:val="00064A9F"/>
    <w:rsid w:val="00076B82"/>
    <w:rsid w:val="00077A79"/>
    <w:rsid w:val="00086937"/>
    <w:rsid w:val="000879EC"/>
    <w:rsid w:val="00090FDF"/>
    <w:rsid w:val="00092C9F"/>
    <w:rsid w:val="0009478F"/>
    <w:rsid w:val="00096569"/>
    <w:rsid w:val="000A0863"/>
    <w:rsid w:val="000A4418"/>
    <w:rsid w:val="000A60DE"/>
    <w:rsid w:val="000B3055"/>
    <w:rsid w:val="000B383E"/>
    <w:rsid w:val="000C464F"/>
    <w:rsid w:val="000C4D90"/>
    <w:rsid w:val="000C616F"/>
    <w:rsid w:val="000C7470"/>
    <w:rsid w:val="000C7BEA"/>
    <w:rsid w:val="000C7E8D"/>
    <w:rsid w:val="000D10E3"/>
    <w:rsid w:val="000D7361"/>
    <w:rsid w:val="000D7A8A"/>
    <w:rsid w:val="000D7CA7"/>
    <w:rsid w:val="000E1056"/>
    <w:rsid w:val="000E266E"/>
    <w:rsid w:val="000E46D6"/>
    <w:rsid w:val="000E5541"/>
    <w:rsid w:val="000E6A6C"/>
    <w:rsid w:val="000F251F"/>
    <w:rsid w:val="000F58D4"/>
    <w:rsid w:val="00103669"/>
    <w:rsid w:val="00124307"/>
    <w:rsid w:val="00125CEB"/>
    <w:rsid w:val="001267BE"/>
    <w:rsid w:val="00127E4B"/>
    <w:rsid w:val="00131233"/>
    <w:rsid w:val="0013497F"/>
    <w:rsid w:val="001374FC"/>
    <w:rsid w:val="0013751A"/>
    <w:rsid w:val="00137AB2"/>
    <w:rsid w:val="0014207B"/>
    <w:rsid w:val="001460D2"/>
    <w:rsid w:val="001502F1"/>
    <w:rsid w:val="00162826"/>
    <w:rsid w:val="001700F1"/>
    <w:rsid w:val="001745ED"/>
    <w:rsid w:val="00180F39"/>
    <w:rsid w:val="00187A45"/>
    <w:rsid w:val="00190B72"/>
    <w:rsid w:val="001A2260"/>
    <w:rsid w:val="001A3CE1"/>
    <w:rsid w:val="001A4844"/>
    <w:rsid w:val="001A6BE4"/>
    <w:rsid w:val="001B0305"/>
    <w:rsid w:val="001C1CEC"/>
    <w:rsid w:val="001C21BB"/>
    <w:rsid w:val="001C491E"/>
    <w:rsid w:val="001D4990"/>
    <w:rsid w:val="001D7045"/>
    <w:rsid w:val="001E4C40"/>
    <w:rsid w:val="001F0A53"/>
    <w:rsid w:val="001F2C61"/>
    <w:rsid w:val="00203C22"/>
    <w:rsid w:val="00221FA4"/>
    <w:rsid w:val="00222CF2"/>
    <w:rsid w:val="0022446F"/>
    <w:rsid w:val="0022463C"/>
    <w:rsid w:val="002276BC"/>
    <w:rsid w:val="00230A8F"/>
    <w:rsid w:val="00245924"/>
    <w:rsid w:val="00246D0C"/>
    <w:rsid w:val="00252263"/>
    <w:rsid w:val="0025411E"/>
    <w:rsid w:val="00261F69"/>
    <w:rsid w:val="0026417C"/>
    <w:rsid w:val="00271E3A"/>
    <w:rsid w:val="00287ADE"/>
    <w:rsid w:val="00287D0B"/>
    <w:rsid w:val="00291931"/>
    <w:rsid w:val="00291E7A"/>
    <w:rsid w:val="002936EC"/>
    <w:rsid w:val="00296A0B"/>
    <w:rsid w:val="002A1171"/>
    <w:rsid w:val="002A3553"/>
    <w:rsid w:val="002B2301"/>
    <w:rsid w:val="002B2D1A"/>
    <w:rsid w:val="002C3EE7"/>
    <w:rsid w:val="002C4EF6"/>
    <w:rsid w:val="002D1031"/>
    <w:rsid w:val="002D2969"/>
    <w:rsid w:val="002D2D96"/>
    <w:rsid w:val="002D4699"/>
    <w:rsid w:val="002E5E1B"/>
    <w:rsid w:val="002E6325"/>
    <w:rsid w:val="002F0EBF"/>
    <w:rsid w:val="002F6433"/>
    <w:rsid w:val="00305ED3"/>
    <w:rsid w:val="00306112"/>
    <w:rsid w:val="00307B59"/>
    <w:rsid w:val="003257C9"/>
    <w:rsid w:val="00325C5A"/>
    <w:rsid w:val="00333696"/>
    <w:rsid w:val="00334A4B"/>
    <w:rsid w:val="00335D3C"/>
    <w:rsid w:val="00336728"/>
    <w:rsid w:val="00336949"/>
    <w:rsid w:val="00345534"/>
    <w:rsid w:val="0036751B"/>
    <w:rsid w:val="00374FC1"/>
    <w:rsid w:val="0038466B"/>
    <w:rsid w:val="0038600C"/>
    <w:rsid w:val="003867B8"/>
    <w:rsid w:val="00390537"/>
    <w:rsid w:val="003912FD"/>
    <w:rsid w:val="003941BF"/>
    <w:rsid w:val="003976E7"/>
    <w:rsid w:val="003A0AC9"/>
    <w:rsid w:val="003A0CA5"/>
    <w:rsid w:val="003A104A"/>
    <w:rsid w:val="003A155C"/>
    <w:rsid w:val="003A5125"/>
    <w:rsid w:val="003A52EB"/>
    <w:rsid w:val="003A5770"/>
    <w:rsid w:val="003A7333"/>
    <w:rsid w:val="003B12B7"/>
    <w:rsid w:val="003B3E20"/>
    <w:rsid w:val="003B6854"/>
    <w:rsid w:val="003C36B3"/>
    <w:rsid w:val="003C7053"/>
    <w:rsid w:val="003C7E2C"/>
    <w:rsid w:val="003D06A7"/>
    <w:rsid w:val="003D2724"/>
    <w:rsid w:val="003D3892"/>
    <w:rsid w:val="003D74AC"/>
    <w:rsid w:val="003D794E"/>
    <w:rsid w:val="003E0C19"/>
    <w:rsid w:val="003E2D09"/>
    <w:rsid w:val="003E5298"/>
    <w:rsid w:val="003E59F8"/>
    <w:rsid w:val="003F24D3"/>
    <w:rsid w:val="00412488"/>
    <w:rsid w:val="00413109"/>
    <w:rsid w:val="0041709F"/>
    <w:rsid w:val="004205CE"/>
    <w:rsid w:val="004323BC"/>
    <w:rsid w:val="00433BF8"/>
    <w:rsid w:val="00437788"/>
    <w:rsid w:val="00437D08"/>
    <w:rsid w:val="00445A98"/>
    <w:rsid w:val="00447F62"/>
    <w:rsid w:val="004575BA"/>
    <w:rsid w:val="0046482E"/>
    <w:rsid w:val="00470503"/>
    <w:rsid w:val="00482BEA"/>
    <w:rsid w:val="00483B23"/>
    <w:rsid w:val="00491C26"/>
    <w:rsid w:val="00494F54"/>
    <w:rsid w:val="004A1B3C"/>
    <w:rsid w:val="004A35CA"/>
    <w:rsid w:val="004A7EB4"/>
    <w:rsid w:val="004B0C78"/>
    <w:rsid w:val="004B1FB4"/>
    <w:rsid w:val="004C436B"/>
    <w:rsid w:val="004C6025"/>
    <w:rsid w:val="004D361F"/>
    <w:rsid w:val="004D5248"/>
    <w:rsid w:val="004D551F"/>
    <w:rsid w:val="004D7558"/>
    <w:rsid w:val="004E3597"/>
    <w:rsid w:val="004E4121"/>
    <w:rsid w:val="004F0576"/>
    <w:rsid w:val="004F3926"/>
    <w:rsid w:val="004F6378"/>
    <w:rsid w:val="00501AEE"/>
    <w:rsid w:val="0050283B"/>
    <w:rsid w:val="005135B9"/>
    <w:rsid w:val="00517746"/>
    <w:rsid w:val="0052738F"/>
    <w:rsid w:val="00527CAD"/>
    <w:rsid w:val="005337CA"/>
    <w:rsid w:val="0053720A"/>
    <w:rsid w:val="005400CA"/>
    <w:rsid w:val="00542C02"/>
    <w:rsid w:val="00544F93"/>
    <w:rsid w:val="00547257"/>
    <w:rsid w:val="005547BA"/>
    <w:rsid w:val="00560EEE"/>
    <w:rsid w:val="00563DA5"/>
    <w:rsid w:val="00565709"/>
    <w:rsid w:val="00565DF0"/>
    <w:rsid w:val="005706AD"/>
    <w:rsid w:val="00572EF1"/>
    <w:rsid w:val="00576366"/>
    <w:rsid w:val="00576A9C"/>
    <w:rsid w:val="00580316"/>
    <w:rsid w:val="00581218"/>
    <w:rsid w:val="0058479B"/>
    <w:rsid w:val="00586C4B"/>
    <w:rsid w:val="00593682"/>
    <w:rsid w:val="0059785B"/>
    <w:rsid w:val="00597949"/>
    <w:rsid w:val="005A6EA3"/>
    <w:rsid w:val="005B3945"/>
    <w:rsid w:val="005B6C81"/>
    <w:rsid w:val="005B7CFB"/>
    <w:rsid w:val="005C1EF7"/>
    <w:rsid w:val="005C2905"/>
    <w:rsid w:val="005C2C2E"/>
    <w:rsid w:val="005C4DD2"/>
    <w:rsid w:val="005C64D9"/>
    <w:rsid w:val="005C6C7D"/>
    <w:rsid w:val="005D1390"/>
    <w:rsid w:val="005D31C5"/>
    <w:rsid w:val="005E4D29"/>
    <w:rsid w:val="005E63E4"/>
    <w:rsid w:val="005E6776"/>
    <w:rsid w:val="005F420E"/>
    <w:rsid w:val="005F5708"/>
    <w:rsid w:val="005F69BB"/>
    <w:rsid w:val="005F74A1"/>
    <w:rsid w:val="006010B5"/>
    <w:rsid w:val="00603A29"/>
    <w:rsid w:val="00604699"/>
    <w:rsid w:val="00604C54"/>
    <w:rsid w:val="00606A4D"/>
    <w:rsid w:val="00620D31"/>
    <w:rsid w:val="00620F02"/>
    <w:rsid w:val="006251AC"/>
    <w:rsid w:val="00631961"/>
    <w:rsid w:val="0064353C"/>
    <w:rsid w:val="00645B3A"/>
    <w:rsid w:val="00652A6C"/>
    <w:rsid w:val="00655F47"/>
    <w:rsid w:val="00661A04"/>
    <w:rsid w:val="006641A3"/>
    <w:rsid w:val="00665048"/>
    <w:rsid w:val="0067417F"/>
    <w:rsid w:val="00674F2B"/>
    <w:rsid w:val="00691EA8"/>
    <w:rsid w:val="00693C2A"/>
    <w:rsid w:val="0069436A"/>
    <w:rsid w:val="006957F5"/>
    <w:rsid w:val="00696B85"/>
    <w:rsid w:val="006A59D2"/>
    <w:rsid w:val="006B7656"/>
    <w:rsid w:val="006B7B86"/>
    <w:rsid w:val="006C133E"/>
    <w:rsid w:val="006C5F51"/>
    <w:rsid w:val="006D258E"/>
    <w:rsid w:val="006D3537"/>
    <w:rsid w:val="006D39C8"/>
    <w:rsid w:val="006E5996"/>
    <w:rsid w:val="006E7505"/>
    <w:rsid w:val="006E793C"/>
    <w:rsid w:val="006F25F8"/>
    <w:rsid w:val="006F42F5"/>
    <w:rsid w:val="006F5CC3"/>
    <w:rsid w:val="006F7D60"/>
    <w:rsid w:val="007032A5"/>
    <w:rsid w:val="00706C8D"/>
    <w:rsid w:val="00707518"/>
    <w:rsid w:val="00707D54"/>
    <w:rsid w:val="007120C8"/>
    <w:rsid w:val="007142AA"/>
    <w:rsid w:val="00716C20"/>
    <w:rsid w:val="0072225D"/>
    <w:rsid w:val="00722B8B"/>
    <w:rsid w:val="00723DD5"/>
    <w:rsid w:val="007246A7"/>
    <w:rsid w:val="00726208"/>
    <w:rsid w:val="00727E5C"/>
    <w:rsid w:val="00742897"/>
    <w:rsid w:val="007504BA"/>
    <w:rsid w:val="00750A8A"/>
    <w:rsid w:val="00750D04"/>
    <w:rsid w:val="007557C2"/>
    <w:rsid w:val="00756508"/>
    <w:rsid w:val="007569CF"/>
    <w:rsid w:val="00761D86"/>
    <w:rsid w:val="00763937"/>
    <w:rsid w:val="007657D1"/>
    <w:rsid w:val="0076654B"/>
    <w:rsid w:val="00773BF5"/>
    <w:rsid w:val="00781A17"/>
    <w:rsid w:val="00782DBD"/>
    <w:rsid w:val="00783B81"/>
    <w:rsid w:val="0079267E"/>
    <w:rsid w:val="00792DD7"/>
    <w:rsid w:val="00793F75"/>
    <w:rsid w:val="007960F0"/>
    <w:rsid w:val="007A2A10"/>
    <w:rsid w:val="007A5A51"/>
    <w:rsid w:val="007A67FF"/>
    <w:rsid w:val="007B0B35"/>
    <w:rsid w:val="007B5210"/>
    <w:rsid w:val="007C314C"/>
    <w:rsid w:val="007C3F40"/>
    <w:rsid w:val="007C4648"/>
    <w:rsid w:val="007C63D2"/>
    <w:rsid w:val="007D33DD"/>
    <w:rsid w:val="007D3A60"/>
    <w:rsid w:val="007D5831"/>
    <w:rsid w:val="007E1967"/>
    <w:rsid w:val="007E2AE3"/>
    <w:rsid w:val="007E6AE6"/>
    <w:rsid w:val="007F0344"/>
    <w:rsid w:val="007F1849"/>
    <w:rsid w:val="008039A7"/>
    <w:rsid w:val="00806DDB"/>
    <w:rsid w:val="008175B4"/>
    <w:rsid w:val="00825B0C"/>
    <w:rsid w:val="008270BB"/>
    <w:rsid w:val="008345A9"/>
    <w:rsid w:val="00843137"/>
    <w:rsid w:val="0084649A"/>
    <w:rsid w:val="00851A30"/>
    <w:rsid w:val="00852791"/>
    <w:rsid w:val="008537CF"/>
    <w:rsid w:val="008556C1"/>
    <w:rsid w:val="0087092A"/>
    <w:rsid w:val="0087203F"/>
    <w:rsid w:val="00883085"/>
    <w:rsid w:val="00883C55"/>
    <w:rsid w:val="008920B8"/>
    <w:rsid w:val="00892CB7"/>
    <w:rsid w:val="008938CE"/>
    <w:rsid w:val="008B3F04"/>
    <w:rsid w:val="008D070E"/>
    <w:rsid w:val="008E0C0E"/>
    <w:rsid w:val="008E2E6B"/>
    <w:rsid w:val="008E41AB"/>
    <w:rsid w:val="008E56F1"/>
    <w:rsid w:val="008E59AC"/>
    <w:rsid w:val="008E728B"/>
    <w:rsid w:val="008F4193"/>
    <w:rsid w:val="00900998"/>
    <w:rsid w:val="0090219F"/>
    <w:rsid w:val="009066A6"/>
    <w:rsid w:val="00907513"/>
    <w:rsid w:val="00907955"/>
    <w:rsid w:val="009117C3"/>
    <w:rsid w:val="00912C05"/>
    <w:rsid w:val="009265E3"/>
    <w:rsid w:val="009331C6"/>
    <w:rsid w:val="009377E4"/>
    <w:rsid w:val="00943610"/>
    <w:rsid w:val="009437CA"/>
    <w:rsid w:val="0094578D"/>
    <w:rsid w:val="00953176"/>
    <w:rsid w:val="0095524D"/>
    <w:rsid w:val="00984685"/>
    <w:rsid w:val="009A311B"/>
    <w:rsid w:val="009A4815"/>
    <w:rsid w:val="009A5696"/>
    <w:rsid w:val="009B312F"/>
    <w:rsid w:val="009C12D0"/>
    <w:rsid w:val="009C32B2"/>
    <w:rsid w:val="009C44B4"/>
    <w:rsid w:val="009C630C"/>
    <w:rsid w:val="009C7C56"/>
    <w:rsid w:val="009E5786"/>
    <w:rsid w:val="009E5F28"/>
    <w:rsid w:val="009E75BD"/>
    <w:rsid w:val="009F0A4A"/>
    <w:rsid w:val="009F7520"/>
    <w:rsid w:val="00A0162F"/>
    <w:rsid w:val="00A03B7E"/>
    <w:rsid w:val="00A048A9"/>
    <w:rsid w:val="00A07251"/>
    <w:rsid w:val="00A11F58"/>
    <w:rsid w:val="00A135D7"/>
    <w:rsid w:val="00A2602F"/>
    <w:rsid w:val="00A36F37"/>
    <w:rsid w:val="00A3783D"/>
    <w:rsid w:val="00A378D6"/>
    <w:rsid w:val="00A4327F"/>
    <w:rsid w:val="00A52C66"/>
    <w:rsid w:val="00A565D4"/>
    <w:rsid w:val="00A60AFB"/>
    <w:rsid w:val="00A60C5D"/>
    <w:rsid w:val="00A615A8"/>
    <w:rsid w:val="00A620B5"/>
    <w:rsid w:val="00A62E61"/>
    <w:rsid w:val="00A7097E"/>
    <w:rsid w:val="00A7203B"/>
    <w:rsid w:val="00A74234"/>
    <w:rsid w:val="00A7475D"/>
    <w:rsid w:val="00A77E8C"/>
    <w:rsid w:val="00A90138"/>
    <w:rsid w:val="00A90979"/>
    <w:rsid w:val="00A942EA"/>
    <w:rsid w:val="00A95AE1"/>
    <w:rsid w:val="00AA4A43"/>
    <w:rsid w:val="00AA5620"/>
    <w:rsid w:val="00AA59E0"/>
    <w:rsid w:val="00AB7EBB"/>
    <w:rsid w:val="00AC6834"/>
    <w:rsid w:val="00AD16D5"/>
    <w:rsid w:val="00AD2E0F"/>
    <w:rsid w:val="00AD3660"/>
    <w:rsid w:val="00AE1BE1"/>
    <w:rsid w:val="00AE40B7"/>
    <w:rsid w:val="00AE5BAF"/>
    <w:rsid w:val="00AF31A5"/>
    <w:rsid w:val="00AF3E0F"/>
    <w:rsid w:val="00AF6FE3"/>
    <w:rsid w:val="00B00962"/>
    <w:rsid w:val="00B00E37"/>
    <w:rsid w:val="00B0721D"/>
    <w:rsid w:val="00B108C6"/>
    <w:rsid w:val="00B117DA"/>
    <w:rsid w:val="00B15C8B"/>
    <w:rsid w:val="00B21DAA"/>
    <w:rsid w:val="00B22F63"/>
    <w:rsid w:val="00B24C6C"/>
    <w:rsid w:val="00B24D8E"/>
    <w:rsid w:val="00B2536E"/>
    <w:rsid w:val="00B269D8"/>
    <w:rsid w:val="00B537FE"/>
    <w:rsid w:val="00B545A1"/>
    <w:rsid w:val="00B60913"/>
    <w:rsid w:val="00B60DA2"/>
    <w:rsid w:val="00B62E98"/>
    <w:rsid w:val="00B66562"/>
    <w:rsid w:val="00B853ED"/>
    <w:rsid w:val="00B905CF"/>
    <w:rsid w:val="00B96315"/>
    <w:rsid w:val="00B978C9"/>
    <w:rsid w:val="00BA47F5"/>
    <w:rsid w:val="00BB00B9"/>
    <w:rsid w:val="00BB10A7"/>
    <w:rsid w:val="00BB1460"/>
    <w:rsid w:val="00BB59FF"/>
    <w:rsid w:val="00BB6409"/>
    <w:rsid w:val="00BB760E"/>
    <w:rsid w:val="00BC12FC"/>
    <w:rsid w:val="00BC1396"/>
    <w:rsid w:val="00BC2A2E"/>
    <w:rsid w:val="00BC44FA"/>
    <w:rsid w:val="00BC6870"/>
    <w:rsid w:val="00BD0BE4"/>
    <w:rsid w:val="00BD4BCA"/>
    <w:rsid w:val="00BD5433"/>
    <w:rsid w:val="00BE5892"/>
    <w:rsid w:val="00BE706D"/>
    <w:rsid w:val="00BE7343"/>
    <w:rsid w:val="00BF07AC"/>
    <w:rsid w:val="00BF5561"/>
    <w:rsid w:val="00C12FC0"/>
    <w:rsid w:val="00C13B1B"/>
    <w:rsid w:val="00C142AD"/>
    <w:rsid w:val="00C1469C"/>
    <w:rsid w:val="00C2090A"/>
    <w:rsid w:val="00C20C6F"/>
    <w:rsid w:val="00C20C7C"/>
    <w:rsid w:val="00C351DE"/>
    <w:rsid w:val="00C409BD"/>
    <w:rsid w:val="00C42A78"/>
    <w:rsid w:val="00C42D95"/>
    <w:rsid w:val="00C474C7"/>
    <w:rsid w:val="00C55208"/>
    <w:rsid w:val="00C574B4"/>
    <w:rsid w:val="00C66051"/>
    <w:rsid w:val="00C6771F"/>
    <w:rsid w:val="00C67A25"/>
    <w:rsid w:val="00C736FE"/>
    <w:rsid w:val="00C74F11"/>
    <w:rsid w:val="00C82768"/>
    <w:rsid w:val="00C8505F"/>
    <w:rsid w:val="00C9046F"/>
    <w:rsid w:val="00CA1C32"/>
    <w:rsid w:val="00CA1E3F"/>
    <w:rsid w:val="00CA6C26"/>
    <w:rsid w:val="00CB196D"/>
    <w:rsid w:val="00CB3910"/>
    <w:rsid w:val="00CB7954"/>
    <w:rsid w:val="00CC00FE"/>
    <w:rsid w:val="00CC1760"/>
    <w:rsid w:val="00CC3C23"/>
    <w:rsid w:val="00CC418F"/>
    <w:rsid w:val="00CC4EF6"/>
    <w:rsid w:val="00CC6D8E"/>
    <w:rsid w:val="00CE5151"/>
    <w:rsid w:val="00CE7B40"/>
    <w:rsid w:val="00CF18C7"/>
    <w:rsid w:val="00D16E30"/>
    <w:rsid w:val="00D211DF"/>
    <w:rsid w:val="00D31CEB"/>
    <w:rsid w:val="00D3481A"/>
    <w:rsid w:val="00D36C4A"/>
    <w:rsid w:val="00D455D5"/>
    <w:rsid w:val="00D509F7"/>
    <w:rsid w:val="00D52159"/>
    <w:rsid w:val="00D53857"/>
    <w:rsid w:val="00D56655"/>
    <w:rsid w:val="00D673CA"/>
    <w:rsid w:val="00D746E5"/>
    <w:rsid w:val="00D74B65"/>
    <w:rsid w:val="00D81E60"/>
    <w:rsid w:val="00D82489"/>
    <w:rsid w:val="00D8702E"/>
    <w:rsid w:val="00D87BAC"/>
    <w:rsid w:val="00D92612"/>
    <w:rsid w:val="00D945EC"/>
    <w:rsid w:val="00D9524A"/>
    <w:rsid w:val="00D959C1"/>
    <w:rsid w:val="00DA3655"/>
    <w:rsid w:val="00DA7A59"/>
    <w:rsid w:val="00DB157A"/>
    <w:rsid w:val="00DB3B1C"/>
    <w:rsid w:val="00DB73B6"/>
    <w:rsid w:val="00DC3600"/>
    <w:rsid w:val="00DC57C7"/>
    <w:rsid w:val="00DD23C1"/>
    <w:rsid w:val="00DD2D94"/>
    <w:rsid w:val="00DD3EAF"/>
    <w:rsid w:val="00DD4618"/>
    <w:rsid w:val="00DE06FE"/>
    <w:rsid w:val="00DE5B2D"/>
    <w:rsid w:val="00DE7FA9"/>
    <w:rsid w:val="00DF0ACC"/>
    <w:rsid w:val="00DF4636"/>
    <w:rsid w:val="00DF65A2"/>
    <w:rsid w:val="00E00408"/>
    <w:rsid w:val="00E00C07"/>
    <w:rsid w:val="00E03D37"/>
    <w:rsid w:val="00E051AF"/>
    <w:rsid w:val="00E0560B"/>
    <w:rsid w:val="00E06706"/>
    <w:rsid w:val="00E16226"/>
    <w:rsid w:val="00E16607"/>
    <w:rsid w:val="00E16D3A"/>
    <w:rsid w:val="00E22F40"/>
    <w:rsid w:val="00E23C68"/>
    <w:rsid w:val="00E30C75"/>
    <w:rsid w:val="00E37D72"/>
    <w:rsid w:val="00E5267F"/>
    <w:rsid w:val="00E53E2A"/>
    <w:rsid w:val="00E571FE"/>
    <w:rsid w:val="00E6064B"/>
    <w:rsid w:val="00E60B35"/>
    <w:rsid w:val="00E60ECC"/>
    <w:rsid w:val="00E61C3A"/>
    <w:rsid w:val="00E61F34"/>
    <w:rsid w:val="00E61F7D"/>
    <w:rsid w:val="00E63225"/>
    <w:rsid w:val="00E65051"/>
    <w:rsid w:val="00E679F1"/>
    <w:rsid w:val="00E75F87"/>
    <w:rsid w:val="00E80CDA"/>
    <w:rsid w:val="00E82581"/>
    <w:rsid w:val="00E83073"/>
    <w:rsid w:val="00E9070C"/>
    <w:rsid w:val="00E9433C"/>
    <w:rsid w:val="00E9459B"/>
    <w:rsid w:val="00E966F0"/>
    <w:rsid w:val="00E97C51"/>
    <w:rsid w:val="00EA53A2"/>
    <w:rsid w:val="00EA7D8D"/>
    <w:rsid w:val="00EB5EF6"/>
    <w:rsid w:val="00EB75F1"/>
    <w:rsid w:val="00EC2E23"/>
    <w:rsid w:val="00EC3637"/>
    <w:rsid w:val="00EC40D5"/>
    <w:rsid w:val="00ED0035"/>
    <w:rsid w:val="00ED10C6"/>
    <w:rsid w:val="00EE0ECE"/>
    <w:rsid w:val="00EE532A"/>
    <w:rsid w:val="00EF7DDF"/>
    <w:rsid w:val="00F06584"/>
    <w:rsid w:val="00F0777E"/>
    <w:rsid w:val="00F10527"/>
    <w:rsid w:val="00F1638C"/>
    <w:rsid w:val="00F2036F"/>
    <w:rsid w:val="00F21297"/>
    <w:rsid w:val="00F26B8D"/>
    <w:rsid w:val="00F27CEF"/>
    <w:rsid w:val="00F27D16"/>
    <w:rsid w:val="00F400F3"/>
    <w:rsid w:val="00F4253F"/>
    <w:rsid w:val="00F437BC"/>
    <w:rsid w:val="00F507A1"/>
    <w:rsid w:val="00F53B7E"/>
    <w:rsid w:val="00F548CA"/>
    <w:rsid w:val="00F557B7"/>
    <w:rsid w:val="00F56454"/>
    <w:rsid w:val="00F6013E"/>
    <w:rsid w:val="00F70856"/>
    <w:rsid w:val="00F73876"/>
    <w:rsid w:val="00F8104A"/>
    <w:rsid w:val="00F810C8"/>
    <w:rsid w:val="00F81EA9"/>
    <w:rsid w:val="00F86CCB"/>
    <w:rsid w:val="00F86F54"/>
    <w:rsid w:val="00F9582B"/>
    <w:rsid w:val="00F95DC1"/>
    <w:rsid w:val="00FA12FA"/>
    <w:rsid w:val="00FA7C0C"/>
    <w:rsid w:val="00FB3EBD"/>
    <w:rsid w:val="00FC52F7"/>
    <w:rsid w:val="00FC76C9"/>
    <w:rsid w:val="00FD56C3"/>
    <w:rsid w:val="00FE3115"/>
    <w:rsid w:val="00FE3260"/>
    <w:rsid w:val="00FE6E81"/>
    <w:rsid w:val="00FF3973"/>
    <w:rsid w:val="00FF4940"/>
    <w:rsid w:val="03F70B54"/>
    <w:rsid w:val="04573597"/>
    <w:rsid w:val="050126A8"/>
    <w:rsid w:val="064E5472"/>
    <w:rsid w:val="09004E35"/>
    <w:rsid w:val="0B264DC7"/>
    <w:rsid w:val="0D434217"/>
    <w:rsid w:val="0E2906C3"/>
    <w:rsid w:val="0F960299"/>
    <w:rsid w:val="12076FA3"/>
    <w:rsid w:val="1507051F"/>
    <w:rsid w:val="17723CE0"/>
    <w:rsid w:val="17A41844"/>
    <w:rsid w:val="18DE0B2E"/>
    <w:rsid w:val="1BF73986"/>
    <w:rsid w:val="1D234B25"/>
    <w:rsid w:val="1D9645D4"/>
    <w:rsid w:val="1F591238"/>
    <w:rsid w:val="219E0B97"/>
    <w:rsid w:val="228C5FD8"/>
    <w:rsid w:val="251C57DD"/>
    <w:rsid w:val="25832888"/>
    <w:rsid w:val="26704B14"/>
    <w:rsid w:val="280828F3"/>
    <w:rsid w:val="28B44D49"/>
    <w:rsid w:val="291A2F16"/>
    <w:rsid w:val="2A246997"/>
    <w:rsid w:val="2A965138"/>
    <w:rsid w:val="2B303C22"/>
    <w:rsid w:val="2BC574D6"/>
    <w:rsid w:val="2CC51BCE"/>
    <w:rsid w:val="2D5875AD"/>
    <w:rsid w:val="2E4D5E40"/>
    <w:rsid w:val="2F24116E"/>
    <w:rsid w:val="2FFE5B8E"/>
    <w:rsid w:val="304A236C"/>
    <w:rsid w:val="30E173A0"/>
    <w:rsid w:val="311B530D"/>
    <w:rsid w:val="32135EC1"/>
    <w:rsid w:val="32145B76"/>
    <w:rsid w:val="34823A73"/>
    <w:rsid w:val="38175522"/>
    <w:rsid w:val="397125C4"/>
    <w:rsid w:val="3B5D7726"/>
    <w:rsid w:val="3CC7757E"/>
    <w:rsid w:val="41A861F0"/>
    <w:rsid w:val="41AA28B0"/>
    <w:rsid w:val="42EC488F"/>
    <w:rsid w:val="439251F1"/>
    <w:rsid w:val="43B73A47"/>
    <w:rsid w:val="43E2657A"/>
    <w:rsid w:val="440F4127"/>
    <w:rsid w:val="44F644E2"/>
    <w:rsid w:val="461603E0"/>
    <w:rsid w:val="46463E4F"/>
    <w:rsid w:val="48287F3F"/>
    <w:rsid w:val="487B31C6"/>
    <w:rsid w:val="4A9F4AFA"/>
    <w:rsid w:val="4AA270DD"/>
    <w:rsid w:val="4B675F05"/>
    <w:rsid w:val="4C6E35AB"/>
    <w:rsid w:val="4FB90586"/>
    <w:rsid w:val="4FBB08C8"/>
    <w:rsid w:val="4FC30BC6"/>
    <w:rsid w:val="523F4A8E"/>
    <w:rsid w:val="524D2669"/>
    <w:rsid w:val="52A36C6F"/>
    <w:rsid w:val="56C5166A"/>
    <w:rsid w:val="582D4303"/>
    <w:rsid w:val="58C76CE0"/>
    <w:rsid w:val="5D0109C2"/>
    <w:rsid w:val="5DE4777E"/>
    <w:rsid w:val="5F3A4903"/>
    <w:rsid w:val="5FBD75B9"/>
    <w:rsid w:val="62161D5B"/>
    <w:rsid w:val="62473C9B"/>
    <w:rsid w:val="63AE4552"/>
    <w:rsid w:val="661160BE"/>
    <w:rsid w:val="673819B1"/>
    <w:rsid w:val="673E0CBA"/>
    <w:rsid w:val="676A5B85"/>
    <w:rsid w:val="691250D9"/>
    <w:rsid w:val="6A8B2FF2"/>
    <w:rsid w:val="6BEC001E"/>
    <w:rsid w:val="6D785E9D"/>
    <w:rsid w:val="6F55588C"/>
    <w:rsid w:val="71DB1405"/>
    <w:rsid w:val="72295A24"/>
    <w:rsid w:val="74CF1CCB"/>
    <w:rsid w:val="751425E4"/>
    <w:rsid w:val="78121794"/>
    <w:rsid w:val="788B23FD"/>
    <w:rsid w:val="790C1B3D"/>
    <w:rsid w:val="793B616D"/>
    <w:rsid w:val="7B6A68E7"/>
    <w:rsid w:val="7C9961D9"/>
    <w:rsid w:val="7E041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0.5pt" color="#000001"/>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HAnsi" w:cstheme="minorBidi"/>
      <w:kern w:val="2"/>
      <w:sz w:val="21"/>
      <w:szCs w:val="22"/>
      <w:lang w:val="en-US" w:eastAsia="zh-CN" w:bidi="ar-SA"/>
    </w:rPr>
  </w:style>
  <w:style w:type="paragraph" w:styleId="2">
    <w:name w:val="heading 1"/>
    <w:basedOn w:val="1"/>
    <w:next w:val="1"/>
    <w:link w:val="90"/>
    <w:qFormat/>
    <w:uiPriority w:val="0"/>
    <w:pPr>
      <w:widowControl/>
      <w:spacing w:before="100" w:beforeAutospacing="1"/>
      <w:jc w:val="left"/>
      <w:outlineLvl w:val="0"/>
    </w:pPr>
    <w:rPr>
      <w:rFonts w:ascii="宋体" w:hAnsi="宋体"/>
      <w:b/>
      <w:bCs/>
      <w:kern w:val="36"/>
      <w:sz w:val="48"/>
      <w:szCs w:val="48"/>
    </w:rPr>
  </w:style>
  <w:style w:type="paragraph" w:styleId="3">
    <w:name w:val="heading 2"/>
    <w:basedOn w:val="1"/>
    <w:next w:val="1"/>
    <w:link w:val="84"/>
    <w:qFormat/>
    <w:uiPriority w:val="0"/>
    <w:pPr>
      <w:widowControl/>
      <w:spacing w:before="100" w:beforeAutospacing="1" w:after="100" w:afterAutospacing="1"/>
      <w:jc w:val="left"/>
      <w:outlineLvl w:val="1"/>
    </w:pPr>
    <w:rPr>
      <w:rFonts w:ascii="宋体" w:hAnsi="宋体"/>
      <w:b/>
      <w:bCs/>
      <w:kern w:val="0"/>
      <w:sz w:val="36"/>
      <w:szCs w:val="36"/>
    </w:rPr>
  </w:style>
  <w:style w:type="paragraph" w:styleId="4">
    <w:name w:val="heading 4"/>
    <w:basedOn w:val="1"/>
    <w:next w:val="1"/>
    <w:link w:val="89"/>
    <w:qFormat/>
    <w:uiPriority w:val="0"/>
    <w:pPr>
      <w:keepNext/>
      <w:keepLines/>
      <w:spacing w:before="280" w:after="290" w:line="376" w:lineRule="auto"/>
      <w:outlineLvl w:val="3"/>
    </w:pPr>
    <w:rPr>
      <w:rFonts w:ascii="Cambria" w:hAnsi="Cambria"/>
      <w:b/>
      <w:bCs/>
      <w:sz w:val="28"/>
      <w:szCs w:val="28"/>
    </w:rPr>
  </w:style>
  <w:style w:type="paragraph" w:styleId="5">
    <w:name w:val="heading 8"/>
    <w:basedOn w:val="1"/>
    <w:next w:val="1"/>
    <w:link w:val="76"/>
    <w:qFormat/>
    <w:uiPriority w:val="0"/>
    <w:pPr>
      <w:keepNext/>
      <w:keepLines/>
      <w:spacing w:before="240" w:after="64" w:line="320" w:lineRule="auto"/>
      <w:outlineLvl w:val="7"/>
    </w:pPr>
    <w:rPr>
      <w:rFonts w:ascii="Cambria" w:hAnsi="Cambria"/>
      <w:sz w:val="24"/>
      <w:szCs w:val="24"/>
    </w:rPr>
  </w:style>
  <w:style w:type="character" w:default="1" w:styleId="17">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88"/>
    <w:unhideWhenUsed/>
    <w:qFormat/>
    <w:uiPriority w:val="99"/>
    <w:rPr>
      <w:rFonts w:ascii="Calibri" w:hAnsi="Calibri"/>
      <w:b/>
      <w:bCs/>
      <w:szCs w:val="22"/>
    </w:rPr>
  </w:style>
  <w:style w:type="paragraph" w:styleId="7">
    <w:name w:val="annotation text"/>
    <w:basedOn w:val="1"/>
    <w:link w:val="81"/>
    <w:qFormat/>
    <w:uiPriority w:val="0"/>
    <w:pPr>
      <w:jc w:val="left"/>
    </w:pPr>
    <w:rPr>
      <w:rFonts w:ascii="Times New Roman" w:hAnsi="Times New Roman"/>
      <w:szCs w:val="24"/>
    </w:rPr>
  </w:style>
  <w:style w:type="paragraph" w:styleId="8">
    <w:name w:val="toc 3"/>
    <w:basedOn w:val="1"/>
    <w:next w:val="1"/>
    <w:qFormat/>
    <w:uiPriority w:val="0"/>
    <w:pPr>
      <w:widowControl/>
      <w:spacing w:after="100" w:line="276" w:lineRule="auto"/>
      <w:ind w:left="440"/>
      <w:jc w:val="left"/>
    </w:pPr>
    <w:rPr>
      <w:kern w:val="0"/>
      <w:sz w:val="22"/>
    </w:rPr>
  </w:style>
  <w:style w:type="paragraph" w:styleId="9">
    <w:name w:val="Balloon Text"/>
    <w:basedOn w:val="1"/>
    <w:link w:val="87"/>
    <w:unhideWhenUsed/>
    <w:qFormat/>
    <w:uiPriority w:val="99"/>
    <w:rPr>
      <w:sz w:val="18"/>
      <w:szCs w:val="18"/>
    </w:rPr>
  </w:style>
  <w:style w:type="paragraph" w:styleId="10">
    <w:name w:val="footer"/>
    <w:basedOn w:val="1"/>
    <w:link w:val="85"/>
    <w:qFormat/>
    <w:uiPriority w:val="99"/>
    <w:pPr>
      <w:tabs>
        <w:tab w:val="center" w:pos="4153"/>
        <w:tab w:val="right" w:pos="8306"/>
      </w:tabs>
      <w:snapToGrid w:val="0"/>
      <w:jc w:val="left"/>
    </w:pPr>
    <w:rPr>
      <w:rFonts w:ascii="Times New Roman" w:hAnsi="Times New Roman"/>
      <w:sz w:val="18"/>
      <w:szCs w:val="18"/>
    </w:rPr>
  </w:style>
  <w:style w:type="paragraph" w:styleId="11">
    <w:name w:val="header"/>
    <w:basedOn w:val="1"/>
    <w:link w:val="6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2">
    <w:name w:val="toc 1"/>
    <w:basedOn w:val="1"/>
    <w:next w:val="1"/>
    <w:qFormat/>
    <w:uiPriority w:val="0"/>
    <w:pPr>
      <w:tabs>
        <w:tab w:val="right" w:leader="dot" w:pos="8630"/>
      </w:tabs>
      <w:spacing w:beforeLines="100" w:line="360" w:lineRule="auto"/>
      <w:jc w:val="center"/>
    </w:pPr>
    <w:rPr>
      <w:rFonts w:ascii="Times New Roman" w:hAnsi="Times New Roman"/>
      <w:szCs w:val="24"/>
    </w:rPr>
  </w:style>
  <w:style w:type="paragraph" w:styleId="13">
    <w:name w:val="footnote text"/>
    <w:basedOn w:val="1"/>
    <w:link w:val="78"/>
    <w:qFormat/>
    <w:uiPriority w:val="0"/>
    <w:pPr>
      <w:adjustRightInd w:val="0"/>
      <w:snapToGrid w:val="0"/>
      <w:spacing w:line="312" w:lineRule="atLeast"/>
      <w:jc w:val="left"/>
      <w:textAlignment w:val="baseline"/>
    </w:pPr>
    <w:rPr>
      <w:rFonts w:ascii="Times New Roman" w:hAnsi="Times New Roman"/>
      <w:kern w:val="18"/>
      <w:sz w:val="18"/>
      <w:szCs w:val="18"/>
    </w:rPr>
  </w:style>
  <w:style w:type="paragraph" w:styleId="14">
    <w:name w:val="toc 2"/>
    <w:basedOn w:val="1"/>
    <w:next w:val="1"/>
    <w:qFormat/>
    <w:uiPriority w:val="0"/>
    <w:pPr>
      <w:ind w:left="420" w:leftChars="200"/>
    </w:pPr>
    <w:rPr>
      <w:rFonts w:ascii="Times New Roman" w:hAnsi="Times New Roman"/>
      <w:szCs w:val="24"/>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69"/>
    <w:qFormat/>
    <w:uiPriority w:val="0"/>
    <w:pPr>
      <w:spacing w:before="240" w:after="60"/>
      <w:jc w:val="center"/>
      <w:outlineLvl w:val="0"/>
    </w:pPr>
    <w:rPr>
      <w:rFonts w:ascii="Cambria" w:hAnsi="Cambria"/>
      <w:b/>
      <w:bCs/>
      <w:sz w:val="32"/>
      <w:szCs w:val="32"/>
    </w:rPr>
  </w:style>
  <w:style w:type="character" w:styleId="18">
    <w:name w:val="Strong"/>
    <w:basedOn w:val="17"/>
    <w:qFormat/>
    <w:uiPriority w:val="22"/>
    <w:rPr>
      <w:b/>
    </w:rPr>
  </w:style>
  <w:style w:type="character" w:styleId="19">
    <w:name w:val="FollowedHyperlink"/>
    <w:basedOn w:val="17"/>
    <w:unhideWhenUsed/>
    <w:qFormat/>
    <w:uiPriority w:val="99"/>
    <w:rPr>
      <w:color w:val="338DE6"/>
      <w:u w:val="none"/>
    </w:rPr>
  </w:style>
  <w:style w:type="character" w:styleId="20">
    <w:name w:val="Emphasis"/>
    <w:basedOn w:val="17"/>
    <w:qFormat/>
    <w:uiPriority w:val="20"/>
  </w:style>
  <w:style w:type="character" w:styleId="21">
    <w:name w:val="HTML Definition"/>
    <w:basedOn w:val="17"/>
    <w:unhideWhenUsed/>
    <w:qFormat/>
    <w:uiPriority w:val="99"/>
  </w:style>
  <w:style w:type="character" w:styleId="22">
    <w:name w:val="HTML Variable"/>
    <w:basedOn w:val="17"/>
    <w:unhideWhenUsed/>
    <w:qFormat/>
    <w:uiPriority w:val="99"/>
  </w:style>
  <w:style w:type="character" w:styleId="23">
    <w:name w:val="Hyperlink"/>
    <w:qFormat/>
    <w:uiPriority w:val="0"/>
    <w:rPr>
      <w:u w:val="none"/>
    </w:rPr>
  </w:style>
  <w:style w:type="character" w:styleId="24">
    <w:name w:val="HTML Code"/>
    <w:basedOn w:val="17"/>
    <w:unhideWhenUsed/>
    <w:qFormat/>
    <w:uiPriority w:val="99"/>
    <w:rPr>
      <w:rFonts w:hint="default" w:ascii="serif" w:hAnsi="serif" w:eastAsia="serif" w:cs="serif"/>
      <w:sz w:val="21"/>
      <w:szCs w:val="21"/>
    </w:rPr>
  </w:style>
  <w:style w:type="character" w:styleId="25">
    <w:name w:val="annotation reference"/>
    <w:unhideWhenUsed/>
    <w:qFormat/>
    <w:uiPriority w:val="99"/>
    <w:rPr>
      <w:sz w:val="21"/>
      <w:szCs w:val="21"/>
    </w:rPr>
  </w:style>
  <w:style w:type="character" w:styleId="26">
    <w:name w:val="HTML Cite"/>
    <w:basedOn w:val="17"/>
    <w:unhideWhenUsed/>
    <w:qFormat/>
    <w:uiPriority w:val="99"/>
    <w:rPr>
      <w:vanish/>
      <w:color w:val="FFFFFF"/>
      <w:sz w:val="21"/>
      <w:szCs w:val="21"/>
      <w:bdr w:val="single" w:color="FFFFFF" w:sz="4" w:space="0"/>
    </w:rPr>
  </w:style>
  <w:style w:type="character" w:styleId="27">
    <w:name w:val="footnote reference"/>
    <w:qFormat/>
    <w:uiPriority w:val="0"/>
    <w:rPr>
      <w:vertAlign w:val="superscript"/>
    </w:rPr>
  </w:style>
  <w:style w:type="character" w:styleId="28">
    <w:name w:val="HTML Keyboard"/>
    <w:basedOn w:val="17"/>
    <w:unhideWhenUsed/>
    <w:qFormat/>
    <w:uiPriority w:val="99"/>
    <w:rPr>
      <w:rFonts w:ascii="serif" w:hAnsi="serif" w:eastAsia="serif" w:cs="serif"/>
      <w:sz w:val="21"/>
      <w:szCs w:val="21"/>
    </w:rPr>
  </w:style>
  <w:style w:type="character" w:styleId="29">
    <w:name w:val="HTML Sample"/>
    <w:basedOn w:val="17"/>
    <w:unhideWhenUsed/>
    <w:qFormat/>
    <w:uiPriority w:val="99"/>
    <w:rPr>
      <w:rFonts w:hint="default" w:ascii="serif" w:hAnsi="serif" w:eastAsia="serif" w:cs="serif"/>
      <w:sz w:val="21"/>
      <w:szCs w:val="21"/>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附录四级条标题"/>
    <w:basedOn w:val="33"/>
    <w:next w:val="1"/>
    <w:qFormat/>
    <w:uiPriority w:val="0"/>
    <w:pPr>
      <w:tabs>
        <w:tab w:val="left" w:pos="765"/>
      </w:tabs>
      <w:outlineLvl w:val="5"/>
    </w:pPr>
  </w:style>
  <w:style w:type="paragraph" w:customStyle="1" w:styleId="33">
    <w:name w:val="附录三级条标题"/>
    <w:basedOn w:val="1"/>
    <w:next w:val="1"/>
    <w:qFormat/>
    <w:uiPriority w:val="0"/>
    <w:pPr>
      <w:widowControl/>
      <w:tabs>
        <w:tab w:val="left" w:pos="765"/>
      </w:tabs>
      <w:wordWrap w:val="0"/>
      <w:overflowPunct w:val="0"/>
      <w:autoSpaceDE w:val="0"/>
      <w:autoSpaceDN w:val="0"/>
      <w:ind w:left="765" w:hanging="765"/>
      <w:textAlignment w:val="baseline"/>
      <w:outlineLvl w:val="4"/>
    </w:pPr>
    <w:rPr>
      <w:rFonts w:ascii="黑体" w:hAnsi="Times New Roman" w:eastAsia="黑体"/>
      <w:kern w:val="21"/>
      <w:szCs w:val="20"/>
    </w:rPr>
  </w:style>
  <w:style w:type="paragraph" w:customStyle="1" w:styleId="34">
    <w:name w:val="TOC 标题1"/>
    <w:basedOn w:val="2"/>
    <w:next w:val="1"/>
    <w:qFormat/>
    <w:uiPriority w:val="0"/>
    <w:pPr>
      <w:keepNext/>
      <w:keepLines/>
      <w:spacing w:before="480" w:beforeAutospacing="0" w:line="276" w:lineRule="auto"/>
      <w:outlineLvl w:val="9"/>
    </w:pPr>
    <w:rPr>
      <w:rFonts w:ascii="Cambria" w:hAnsi="Cambria"/>
      <w:color w:val="365F91"/>
      <w:kern w:val="0"/>
      <w:sz w:val="28"/>
      <w:szCs w:val="28"/>
    </w:rPr>
  </w:style>
  <w:style w:type="paragraph" w:customStyle="1" w:styleId="35">
    <w:name w:val="文档结构图1"/>
    <w:basedOn w:val="1"/>
    <w:qFormat/>
    <w:uiPriority w:val="0"/>
  </w:style>
  <w:style w:type="paragraph" w:customStyle="1" w:styleId="36">
    <w:name w:val="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7">
    <w:name w:val="封面标准名称"/>
    <w:qFormat/>
    <w:uiPriority w:val="0"/>
    <w:pPr>
      <w:widowControl w:val="0"/>
      <w:spacing w:line="680" w:lineRule="exact"/>
      <w:jc w:val="center"/>
      <w:textAlignment w:val="center"/>
    </w:pPr>
    <w:rPr>
      <w:rFonts w:ascii="黑体" w:eastAsia="黑体" w:hAnsiTheme="minorHAnsi" w:cstheme="minorBidi"/>
      <w:sz w:val="52"/>
      <w:lang w:val="en-US" w:eastAsia="zh-CN" w:bidi="ar-SA"/>
    </w:rPr>
  </w:style>
  <w:style w:type="paragraph" w:customStyle="1" w:styleId="38">
    <w:name w:val="Char Char1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9">
    <w:name w:val="Char Char1 Char Char Char Char1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0">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1">
    <w:name w:val="三级条标题"/>
    <w:basedOn w:val="42"/>
    <w:next w:val="45"/>
    <w:qFormat/>
    <w:uiPriority w:val="0"/>
    <w:pPr>
      <w:outlineLvl w:val="4"/>
    </w:pPr>
  </w:style>
  <w:style w:type="paragraph" w:customStyle="1" w:styleId="42">
    <w:name w:val="二级条标题"/>
    <w:basedOn w:val="43"/>
    <w:next w:val="45"/>
    <w:qFormat/>
    <w:uiPriority w:val="0"/>
    <w:pPr>
      <w:outlineLvl w:val="3"/>
    </w:pPr>
  </w:style>
  <w:style w:type="paragraph" w:customStyle="1" w:styleId="43">
    <w:name w:val="一级条标题"/>
    <w:basedOn w:val="44"/>
    <w:next w:val="45"/>
    <w:link w:val="71"/>
    <w:qFormat/>
    <w:uiPriority w:val="0"/>
    <w:pPr>
      <w:numPr>
        <w:ilvl w:val="0"/>
        <w:numId w:val="0"/>
      </w:numPr>
      <w:outlineLvl w:val="2"/>
    </w:pPr>
  </w:style>
  <w:style w:type="paragraph" w:customStyle="1" w:styleId="44">
    <w:name w:val="章标题"/>
    <w:next w:val="45"/>
    <w:qFormat/>
    <w:uiPriority w:val="0"/>
    <w:pPr>
      <w:numPr>
        <w:ilvl w:val="1"/>
        <w:numId w:val="1"/>
      </w:numPr>
      <w:spacing w:beforeLines="50" w:afterLines="50"/>
      <w:jc w:val="both"/>
      <w:outlineLvl w:val="1"/>
    </w:pPr>
    <w:rPr>
      <w:rFonts w:ascii="黑体" w:eastAsia="黑体" w:hAnsiTheme="minorHAnsi" w:cstheme="minorBidi"/>
      <w:sz w:val="21"/>
      <w:lang w:val="en-US" w:eastAsia="zh-CN" w:bidi="ar-SA"/>
    </w:rPr>
  </w:style>
  <w:style w:type="paragraph" w:customStyle="1" w:styleId="45">
    <w:name w:val="段"/>
    <w:link w:val="63"/>
    <w:qFormat/>
    <w:uiPriority w:val="0"/>
    <w:pPr>
      <w:autoSpaceDE w:val="0"/>
      <w:autoSpaceDN w:val="0"/>
      <w:ind w:firstLine="200" w:firstLineChars="200"/>
      <w:jc w:val="both"/>
    </w:pPr>
    <w:rPr>
      <w:rFonts w:ascii="宋体" w:hAnsiTheme="minorHAnsi" w:eastAsiaTheme="minorHAnsi" w:cstheme="minorBidi"/>
      <w:sz w:val="21"/>
      <w:lang w:val="en-US" w:eastAsia="zh-CN" w:bidi="ar-SA"/>
    </w:rPr>
  </w:style>
  <w:style w:type="paragraph" w:customStyle="1" w:styleId="46">
    <w:name w:val="纯文本1"/>
    <w:basedOn w:val="1"/>
    <w:link w:val="77"/>
    <w:qFormat/>
    <w:uiPriority w:val="0"/>
    <w:rPr>
      <w:rFonts w:ascii="宋体" w:hAnsi="Courier New"/>
      <w:szCs w:val="21"/>
    </w:rPr>
  </w:style>
  <w:style w:type="paragraph" w:customStyle="1" w:styleId="47">
    <w:name w:val="正文文本缩进1"/>
    <w:basedOn w:val="1"/>
    <w:link w:val="82"/>
    <w:qFormat/>
    <w:uiPriority w:val="0"/>
    <w:pPr>
      <w:spacing w:line="320" w:lineRule="exact"/>
      <w:ind w:firstLine="420" w:firstLineChars="200"/>
    </w:pPr>
    <w:rPr>
      <w:rFonts w:ascii="Times New Roman" w:hAnsi="Times New Roman"/>
      <w:szCs w:val="24"/>
    </w:rPr>
  </w:style>
  <w:style w:type="paragraph" w:customStyle="1" w:styleId="48">
    <w:name w:val="List Paragraph"/>
    <w:basedOn w:val="1"/>
    <w:qFormat/>
    <w:uiPriority w:val="34"/>
    <w:pPr>
      <w:ind w:firstLine="420" w:firstLineChars="200"/>
    </w:pPr>
    <w:rPr>
      <w:rFonts w:ascii="Times New Roman" w:hAnsi="Times New Roman"/>
      <w:szCs w:val="21"/>
    </w:rPr>
  </w:style>
  <w:style w:type="paragraph" w:customStyle="1" w:styleId="49">
    <w:name w:val="Char"/>
    <w:basedOn w:val="1"/>
    <w:qFormat/>
    <w:uiPriority w:val="0"/>
    <w:pPr>
      <w:spacing w:line="360" w:lineRule="auto"/>
      <w:ind w:firstLine="480" w:firstLineChars="200"/>
    </w:pPr>
    <w:rPr>
      <w:rFonts w:ascii="宋体" w:hAnsi="宋体" w:eastAsia="楷体_GB2312"/>
      <w:sz w:val="24"/>
      <w:szCs w:val="21"/>
    </w:rPr>
  </w:style>
  <w:style w:type="paragraph" w:customStyle="1" w:styleId="50">
    <w:name w:val="四级条标题"/>
    <w:basedOn w:val="41"/>
    <w:next w:val="45"/>
    <w:qFormat/>
    <w:uiPriority w:val="0"/>
    <w:pPr>
      <w:outlineLvl w:val="5"/>
    </w:pPr>
  </w:style>
  <w:style w:type="paragraph" w:customStyle="1" w:styleId="51">
    <w:name w:val="列出段落1"/>
    <w:basedOn w:val="1"/>
    <w:qFormat/>
    <w:uiPriority w:val="99"/>
    <w:pPr>
      <w:ind w:firstLine="420" w:firstLineChars="200"/>
    </w:pPr>
    <w:rPr>
      <w:rFonts w:ascii="Times New Roman" w:hAnsi="Times New Roman"/>
      <w:szCs w:val="24"/>
    </w:rPr>
  </w:style>
  <w:style w:type="paragraph" w:customStyle="1" w:styleId="52">
    <w:name w:val="日期1"/>
    <w:basedOn w:val="1"/>
    <w:next w:val="1"/>
    <w:link w:val="64"/>
    <w:qFormat/>
    <w:uiPriority w:val="0"/>
    <w:pPr>
      <w:ind w:left="100" w:leftChars="2500"/>
    </w:pPr>
    <w:rPr>
      <w:rFonts w:ascii="Times New Roman" w:hAnsi="Times New Roman"/>
      <w:szCs w:val="24"/>
    </w:rPr>
  </w:style>
  <w:style w:type="paragraph" w:customStyle="1" w:styleId="53">
    <w:name w:val="批注主题1"/>
    <w:basedOn w:val="7"/>
    <w:next w:val="7"/>
    <w:link w:val="83"/>
    <w:qFormat/>
    <w:uiPriority w:val="0"/>
    <w:rPr>
      <w:b/>
      <w:bCs/>
    </w:rPr>
  </w:style>
  <w:style w:type="paragraph" w:customStyle="1" w:styleId="54">
    <w:name w:val="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55">
    <w:name w:val="Char Char1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56">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57">
    <w:name w:val="Default"/>
    <w:qFormat/>
    <w:uiPriority w:val="0"/>
    <w:pPr>
      <w:widowControl w:val="0"/>
      <w:autoSpaceDE w:val="0"/>
      <w:autoSpaceDN w:val="0"/>
      <w:adjustRightInd w:val="0"/>
    </w:pPr>
    <w:rPr>
      <w:rFonts w:ascii="黑体" w:eastAsia="黑体" w:cs="黑体" w:hAnsiTheme="minorHAnsi"/>
      <w:sz w:val="24"/>
      <w:szCs w:val="24"/>
      <w:lang w:val="en-US" w:eastAsia="zh-CN" w:bidi="ar-SA"/>
    </w:rPr>
  </w:style>
  <w:style w:type="paragraph" w:customStyle="1" w:styleId="58">
    <w:name w:val="五级条标题"/>
    <w:basedOn w:val="50"/>
    <w:next w:val="45"/>
    <w:qFormat/>
    <w:uiPriority w:val="0"/>
    <w:pPr>
      <w:outlineLvl w:val="6"/>
    </w:pPr>
  </w:style>
  <w:style w:type="paragraph" w:customStyle="1" w:styleId="59">
    <w:name w:val="批注框文本 Char Char"/>
    <w:basedOn w:val="1"/>
    <w:link w:val="73"/>
    <w:qFormat/>
    <w:uiPriority w:val="0"/>
    <w:rPr>
      <w:rFonts w:ascii="Times New Roman" w:hAnsi="Times New Roman"/>
      <w:sz w:val="18"/>
      <w:szCs w:val="18"/>
    </w:rPr>
  </w:style>
  <w:style w:type="paragraph" w:customStyle="1" w:styleId="60">
    <w:name w:val="前言、引言标题"/>
    <w:next w:val="1"/>
    <w:qFormat/>
    <w:uiPriority w:val="0"/>
    <w:pPr>
      <w:numPr>
        <w:ilvl w:val="0"/>
        <w:numId w:val="1"/>
      </w:numPr>
      <w:shd w:val="clear" w:color="FFFFFF" w:fill="FFFFFF"/>
      <w:spacing w:before="640" w:after="560"/>
      <w:jc w:val="center"/>
      <w:outlineLvl w:val="0"/>
    </w:pPr>
    <w:rPr>
      <w:rFonts w:ascii="黑体" w:eastAsia="黑体" w:hAnsiTheme="minorHAnsi" w:cstheme="minorBidi"/>
      <w:sz w:val="32"/>
      <w:lang w:val="en-US" w:eastAsia="zh-CN" w:bidi="ar-SA"/>
    </w:rPr>
  </w:style>
  <w:style w:type="paragraph" w:customStyle="1" w:styleId="61">
    <w:name w:val="参考文献"/>
    <w:basedOn w:val="1"/>
    <w:qFormat/>
    <w:uiPriority w:val="0"/>
    <w:pPr>
      <w:numPr>
        <w:ilvl w:val="0"/>
        <w:numId w:val="2"/>
      </w:numPr>
      <w:snapToGrid w:val="0"/>
      <w:spacing w:line="250" w:lineRule="exact"/>
    </w:pPr>
    <w:rPr>
      <w:rFonts w:ascii="Times New Roman" w:hAnsi="Times New Roman" w:eastAsia="方正书宋简体"/>
      <w:snapToGrid w:val="0"/>
      <w:sz w:val="14"/>
      <w:szCs w:val="18"/>
    </w:rPr>
  </w:style>
  <w:style w:type="paragraph" w:customStyle="1" w:styleId="62">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3">
    <w:name w:val="段 Char"/>
    <w:link w:val="45"/>
    <w:qFormat/>
    <w:locked/>
    <w:uiPriority w:val="0"/>
    <w:rPr>
      <w:rFonts w:ascii="宋体"/>
      <w:sz w:val="21"/>
      <w:lang w:bidi="ar-SA"/>
    </w:rPr>
  </w:style>
  <w:style w:type="character" w:customStyle="1" w:styleId="64">
    <w:name w:val="日期 Char"/>
    <w:link w:val="52"/>
    <w:semiHidden/>
    <w:qFormat/>
    <w:uiPriority w:val="0"/>
    <w:rPr>
      <w:rFonts w:ascii="Times New Roman" w:hAnsi="Times New Roman"/>
      <w:kern w:val="2"/>
      <w:sz w:val="21"/>
      <w:szCs w:val="24"/>
    </w:rPr>
  </w:style>
  <w:style w:type="character" w:customStyle="1" w:styleId="65">
    <w:name w:val="页眉 字符"/>
    <w:link w:val="11"/>
    <w:semiHidden/>
    <w:qFormat/>
    <w:uiPriority w:val="0"/>
    <w:rPr>
      <w:rFonts w:ascii="Times New Roman" w:hAnsi="Times New Roman"/>
      <w:kern w:val="2"/>
      <w:sz w:val="18"/>
      <w:szCs w:val="18"/>
    </w:rPr>
  </w:style>
  <w:style w:type="character" w:customStyle="1" w:styleId="66">
    <w:name w:val="bds_nopic"/>
    <w:basedOn w:val="17"/>
    <w:qFormat/>
    <w:uiPriority w:val="0"/>
  </w:style>
  <w:style w:type="character" w:customStyle="1" w:styleId="67">
    <w:name w:val="bds_nopic1"/>
    <w:basedOn w:val="17"/>
    <w:qFormat/>
    <w:uiPriority w:val="0"/>
  </w:style>
  <w:style w:type="character" w:customStyle="1" w:styleId="68">
    <w:name w:val="bds_more"/>
    <w:qFormat/>
    <w:uiPriority w:val="0"/>
    <w:rPr>
      <w:rFonts w:hint="eastAsia" w:ascii="宋体" w:hAnsi="宋体" w:eastAsia="宋体" w:cs="宋体"/>
    </w:rPr>
  </w:style>
  <w:style w:type="character" w:customStyle="1" w:styleId="69">
    <w:name w:val="标题 字符"/>
    <w:link w:val="16"/>
    <w:semiHidden/>
    <w:qFormat/>
    <w:uiPriority w:val="0"/>
    <w:rPr>
      <w:rFonts w:ascii="Cambria" w:hAnsi="Cambria" w:cs="Times New Roman"/>
      <w:b/>
      <w:bCs/>
      <w:kern w:val="2"/>
      <w:sz w:val="32"/>
      <w:szCs w:val="32"/>
    </w:rPr>
  </w:style>
  <w:style w:type="character" w:customStyle="1" w:styleId="70">
    <w:name w:val="bds_more1"/>
    <w:basedOn w:val="17"/>
    <w:qFormat/>
    <w:uiPriority w:val="0"/>
  </w:style>
  <w:style w:type="character" w:customStyle="1" w:styleId="71">
    <w:name w:val="一级条标题 Char1"/>
    <w:link w:val="43"/>
    <w:qFormat/>
    <w:uiPriority w:val="0"/>
    <w:rPr>
      <w:rFonts w:ascii="黑体" w:eastAsia="黑体"/>
      <w:sz w:val="21"/>
    </w:rPr>
  </w:style>
  <w:style w:type="character" w:customStyle="1" w:styleId="72">
    <w:name w:val="st1"/>
    <w:basedOn w:val="17"/>
    <w:qFormat/>
    <w:uiPriority w:val="0"/>
  </w:style>
  <w:style w:type="character" w:customStyle="1" w:styleId="73">
    <w:name w:val="批注框文本 Char Char Char"/>
    <w:link w:val="59"/>
    <w:semiHidden/>
    <w:qFormat/>
    <w:uiPriority w:val="0"/>
    <w:rPr>
      <w:rFonts w:ascii="Times New Roman" w:hAnsi="Times New Roman"/>
      <w:kern w:val="2"/>
      <w:sz w:val="18"/>
      <w:szCs w:val="18"/>
    </w:rPr>
  </w:style>
  <w:style w:type="character" w:customStyle="1" w:styleId="74">
    <w:name w:val="批注引用1"/>
    <w:qFormat/>
    <w:uiPriority w:val="0"/>
    <w:rPr>
      <w:sz w:val="21"/>
      <w:szCs w:val="21"/>
    </w:rPr>
  </w:style>
  <w:style w:type="character" w:customStyle="1" w:styleId="75">
    <w:name w:val="apple-style-span"/>
    <w:basedOn w:val="17"/>
    <w:qFormat/>
    <w:uiPriority w:val="0"/>
  </w:style>
  <w:style w:type="character" w:customStyle="1" w:styleId="76">
    <w:name w:val="标题 8 字符"/>
    <w:link w:val="5"/>
    <w:semiHidden/>
    <w:qFormat/>
    <w:uiPriority w:val="0"/>
    <w:rPr>
      <w:rFonts w:ascii="Cambria" w:hAnsi="Cambria" w:eastAsia="宋体" w:cs="黑体"/>
      <w:kern w:val="2"/>
      <w:sz w:val="24"/>
      <w:szCs w:val="24"/>
    </w:rPr>
  </w:style>
  <w:style w:type="character" w:customStyle="1" w:styleId="77">
    <w:name w:val="纯文本 Char"/>
    <w:link w:val="46"/>
    <w:semiHidden/>
    <w:qFormat/>
    <w:uiPriority w:val="0"/>
    <w:rPr>
      <w:rFonts w:ascii="宋体" w:hAnsi="Courier New" w:cs="Courier New"/>
      <w:kern w:val="2"/>
      <w:sz w:val="21"/>
      <w:szCs w:val="21"/>
    </w:rPr>
  </w:style>
  <w:style w:type="character" w:customStyle="1" w:styleId="78">
    <w:name w:val="脚注文本 字符"/>
    <w:link w:val="13"/>
    <w:semiHidden/>
    <w:qFormat/>
    <w:uiPriority w:val="0"/>
    <w:rPr>
      <w:rFonts w:ascii="Times New Roman" w:hAnsi="Times New Roman"/>
      <w:kern w:val="18"/>
      <w:sz w:val="18"/>
      <w:szCs w:val="18"/>
    </w:rPr>
  </w:style>
  <w:style w:type="character" w:customStyle="1" w:styleId="79">
    <w:name w:val="bds_nopic2"/>
    <w:basedOn w:val="17"/>
    <w:qFormat/>
    <w:uiPriority w:val="0"/>
  </w:style>
  <w:style w:type="character" w:customStyle="1" w:styleId="80">
    <w:name w:val="页码1"/>
    <w:basedOn w:val="17"/>
    <w:qFormat/>
    <w:uiPriority w:val="0"/>
  </w:style>
  <w:style w:type="character" w:customStyle="1" w:styleId="81">
    <w:name w:val="批注文字 字符"/>
    <w:link w:val="7"/>
    <w:semiHidden/>
    <w:qFormat/>
    <w:uiPriority w:val="0"/>
    <w:rPr>
      <w:rFonts w:ascii="Times New Roman" w:hAnsi="Times New Roman"/>
      <w:kern w:val="2"/>
      <w:sz w:val="21"/>
      <w:szCs w:val="24"/>
    </w:rPr>
  </w:style>
  <w:style w:type="character" w:customStyle="1" w:styleId="82">
    <w:name w:val="正文文本缩进 Char"/>
    <w:link w:val="47"/>
    <w:semiHidden/>
    <w:qFormat/>
    <w:uiPriority w:val="0"/>
    <w:rPr>
      <w:rFonts w:ascii="Times New Roman" w:hAnsi="Times New Roman"/>
      <w:kern w:val="2"/>
      <w:sz w:val="21"/>
      <w:szCs w:val="24"/>
    </w:rPr>
  </w:style>
  <w:style w:type="character" w:customStyle="1" w:styleId="83">
    <w:name w:val="批注主题 Char"/>
    <w:link w:val="53"/>
    <w:semiHidden/>
    <w:qFormat/>
    <w:uiPriority w:val="0"/>
    <w:rPr>
      <w:rFonts w:ascii="Times New Roman" w:hAnsi="Times New Roman"/>
      <w:b/>
      <w:bCs/>
      <w:kern w:val="2"/>
      <w:sz w:val="21"/>
      <w:szCs w:val="24"/>
    </w:rPr>
  </w:style>
  <w:style w:type="character" w:customStyle="1" w:styleId="84">
    <w:name w:val="标题 2 字符"/>
    <w:link w:val="3"/>
    <w:semiHidden/>
    <w:qFormat/>
    <w:uiPriority w:val="0"/>
    <w:rPr>
      <w:rFonts w:ascii="宋体" w:hAnsi="宋体"/>
      <w:b/>
      <w:bCs/>
      <w:sz w:val="36"/>
      <w:szCs w:val="36"/>
    </w:rPr>
  </w:style>
  <w:style w:type="character" w:customStyle="1" w:styleId="85">
    <w:name w:val="页脚 字符"/>
    <w:link w:val="10"/>
    <w:qFormat/>
    <w:uiPriority w:val="99"/>
    <w:rPr>
      <w:rFonts w:ascii="Times New Roman" w:hAnsi="Times New Roman"/>
      <w:kern w:val="2"/>
      <w:sz w:val="18"/>
      <w:szCs w:val="18"/>
    </w:rPr>
  </w:style>
  <w:style w:type="character" w:customStyle="1" w:styleId="86">
    <w:name w:val="bds_more2"/>
    <w:basedOn w:val="17"/>
    <w:qFormat/>
    <w:uiPriority w:val="0"/>
  </w:style>
  <w:style w:type="character" w:customStyle="1" w:styleId="87">
    <w:name w:val="批注框文本 字符"/>
    <w:link w:val="9"/>
    <w:semiHidden/>
    <w:qFormat/>
    <w:uiPriority w:val="99"/>
    <w:rPr>
      <w:rFonts w:ascii="Calibri" w:hAnsi="Calibri"/>
      <w:kern w:val="2"/>
      <w:sz w:val="18"/>
      <w:szCs w:val="18"/>
    </w:rPr>
  </w:style>
  <w:style w:type="character" w:customStyle="1" w:styleId="88">
    <w:name w:val="批注主题 字符"/>
    <w:link w:val="6"/>
    <w:semiHidden/>
    <w:qFormat/>
    <w:uiPriority w:val="99"/>
    <w:rPr>
      <w:rFonts w:ascii="Calibri" w:hAnsi="Calibri"/>
      <w:b/>
      <w:bCs/>
      <w:kern w:val="2"/>
      <w:sz w:val="21"/>
      <w:szCs w:val="22"/>
    </w:rPr>
  </w:style>
  <w:style w:type="character" w:customStyle="1" w:styleId="89">
    <w:name w:val="标题 4 字符"/>
    <w:link w:val="4"/>
    <w:semiHidden/>
    <w:qFormat/>
    <w:uiPriority w:val="0"/>
    <w:rPr>
      <w:rFonts w:ascii="Cambria" w:hAnsi="Cambria" w:eastAsia="宋体" w:cs="黑体"/>
      <w:b/>
      <w:bCs/>
      <w:kern w:val="2"/>
      <w:sz w:val="28"/>
      <w:szCs w:val="28"/>
    </w:rPr>
  </w:style>
  <w:style w:type="character" w:customStyle="1" w:styleId="90">
    <w:name w:val="标题 1 字符"/>
    <w:link w:val="2"/>
    <w:semiHidden/>
    <w:qFormat/>
    <w:uiPriority w:val="0"/>
    <w:rPr>
      <w:rFonts w:ascii="宋体" w:hAnsi="宋体"/>
      <w:b/>
      <w:bCs/>
      <w:kern w:val="36"/>
      <w:sz w:val="48"/>
      <w:szCs w:val="48"/>
    </w:rPr>
  </w:style>
  <w:style w:type="character" w:customStyle="1" w:styleId="91">
    <w:name w:val="fontborder"/>
    <w:basedOn w:val="17"/>
    <w:qFormat/>
    <w:uiPriority w:val="0"/>
    <w:rPr>
      <w:bdr w:val="single" w:color="000000" w:sz="4" w:space="0"/>
    </w:rPr>
  </w:style>
  <w:style w:type="character" w:customStyle="1" w:styleId="92">
    <w:name w:val="fontstrikethrough"/>
    <w:basedOn w:val="17"/>
    <w:qFormat/>
    <w:uiPriority w:val="0"/>
    <w:rPr>
      <w:strike/>
    </w:rPr>
  </w:style>
  <w:style w:type="paragraph" w:customStyle="1" w:styleId="93">
    <w:name w:val="_Style 92"/>
    <w:basedOn w:val="1"/>
    <w:next w:val="1"/>
    <w:qFormat/>
    <w:uiPriority w:val="0"/>
    <w:pPr>
      <w:pBdr>
        <w:bottom w:val="single" w:color="auto" w:sz="6" w:space="1"/>
      </w:pBdr>
      <w:jc w:val="center"/>
    </w:pPr>
    <w:rPr>
      <w:rFonts w:ascii="Arial" w:eastAsia="宋体"/>
      <w:vanish/>
      <w:sz w:val="16"/>
    </w:rPr>
  </w:style>
  <w:style w:type="paragraph" w:customStyle="1" w:styleId="94">
    <w:name w:val="_Style 93"/>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emf"/><Relationship Id="rId16" Type="http://schemas.openxmlformats.org/officeDocument/2006/relationships/image" Target="media/image10.emf"/><Relationship Id="rId15" Type="http://schemas.openxmlformats.org/officeDocument/2006/relationships/image" Target="media/image9.emf"/><Relationship Id="rId14" Type="http://schemas.openxmlformats.org/officeDocument/2006/relationships/image" Target="media/image8.emf"/><Relationship Id="rId13" Type="http://schemas.openxmlformats.org/officeDocument/2006/relationships/image" Target="media/image7.emf"/><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36"/>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EE1786-E439-462F-B166-928AAB946B7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663</Words>
  <Characters>3785</Characters>
  <Lines>31</Lines>
  <Paragraphs>8</Paragraphs>
  <TotalTime>17</TotalTime>
  <ScaleCrop>false</ScaleCrop>
  <LinksUpToDate>false</LinksUpToDate>
  <CharactersWithSpaces>4440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2018-05-17T08:07:00Z</dcterms:created>
  <dc:creator>孟茜</dc:creator>
  <cp:lastModifiedBy>韩世鹤</cp:lastModifiedBy>
  <cp:lastPrinted>2018-10-09T08:44:00Z</cp:lastPrinted>
  <dcterms:modified xsi:type="dcterms:W3CDTF">2018-11-06T09:16:39Z</dcterms:modified>
  <dc:title>Chang Liu iPad</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