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right"/>
        <w:rPr>
          <w:rFonts w:hint="eastAsia"/>
          <w:color w:val="auto"/>
          <w:sz w:val="84"/>
        </w:rPr>
      </w:pPr>
      <w:bookmarkStart w:id="0" w:name="_Toc241380368"/>
      <w:r>
        <w:rPr>
          <w:rFonts w:hint="eastAsia"/>
          <w:color w:val="auto"/>
          <w:sz w:val="84"/>
        </w:rPr>
        <w:t>JJG(湘)</w:t>
      </w:r>
    </w:p>
    <w:p>
      <w:pPr>
        <w:ind w:firstLine="522" w:firstLineChars="100"/>
        <w:outlineLvl w:val="0"/>
        <w:rPr>
          <w:rFonts w:hint="eastAsia"/>
          <w:b/>
          <w:color w:val="auto"/>
          <w:sz w:val="52"/>
        </w:rPr>
      </w:pPr>
      <w:r>
        <w:rPr>
          <w:rFonts w:hint="eastAsia"/>
          <w:b/>
          <w:color w:val="auto"/>
          <w:sz w:val="52"/>
        </w:rPr>
        <w:t>湖 南 省 地 方 计 量 检 定 规 程</w:t>
      </w:r>
    </w:p>
    <w:p>
      <w:pPr>
        <w:rPr>
          <w:rFonts w:hint="eastAsia" w:ascii="黑体" w:hAnsi="黑体" w:eastAsia="黑体"/>
          <w:b/>
          <w:color w:val="auto"/>
          <w:sz w:val="28"/>
          <w:lang w:val="en-US" w:eastAsia="zh-CN"/>
        </w:rPr>
      </w:pPr>
      <w:r>
        <w:rPr>
          <w:rFonts w:hint="eastAsia"/>
          <w:color w:val="auto"/>
          <w:sz w:val="28"/>
          <w:lang w:val="pl-PL"/>
        </w:rPr>
        <w:t xml:space="preserve">                                        </w:t>
      </w:r>
      <w:r>
        <w:rPr>
          <w:rFonts w:hint="eastAsia" w:ascii="黑体" w:hAnsi="黑体" w:eastAsia="黑体"/>
          <w:b/>
          <w:color w:val="auto"/>
          <w:sz w:val="28"/>
          <w:lang w:val="nl-NL"/>
        </w:rPr>
        <w:t>JJG（湘）×××</w:t>
      </w:r>
      <w:r>
        <w:rPr>
          <w:rFonts w:hint="eastAsia" w:ascii="黑体" w:hAnsi="黑体" w:eastAsia="黑体"/>
          <w:color w:val="auto"/>
          <w:sz w:val="28"/>
          <w:lang w:val="pl-PL"/>
        </w:rPr>
        <w:t>－</w:t>
      </w:r>
      <w:r>
        <w:rPr>
          <w:rFonts w:hint="eastAsia" w:ascii="黑体" w:hAnsi="黑体" w:eastAsia="黑体"/>
          <w:b/>
          <w:color w:val="auto"/>
          <w:sz w:val="28"/>
          <w:lang w:val="nl-NL"/>
        </w:rPr>
        <w:t>201</w:t>
      </w:r>
      <w:r>
        <w:rPr>
          <w:rFonts w:hint="eastAsia" w:ascii="黑体" w:hAnsi="黑体" w:eastAsia="黑体"/>
          <w:b/>
          <w:color w:val="auto"/>
          <w:sz w:val="28"/>
          <w:lang w:val="en-US" w:eastAsia="zh-CN"/>
        </w:rPr>
        <w:t>9</w:t>
      </w:r>
    </w:p>
    <w:p>
      <w:pPr>
        <w:rPr>
          <w:b/>
          <w:color w:val="auto"/>
          <w:sz w:val="28"/>
          <w:lang w:val="nl-NL"/>
        </w:rPr>
      </w:pPr>
      <w:r>
        <w:rPr>
          <w:color w:val="auto"/>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99060</wp:posOffset>
                </wp:positionV>
                <wp:extent cx="5715000" cy="0"/>
                <wp:effectExtent l="0" t="0" r="0" b="0"/>
                <wp:wrapNone/>
                <wp:docPr id="4"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ln>
                        <a:effectLst/>
                      </wps:spPr>
                      <wps:bodyPr/>
                    </wps:wsp>
                  </a:graphicData>
                </a:graphic>
              </wp:anchor>
            </w:drawing>
          </mc:Choice>
          <mc:Fallback>
            <w:pict>
              <v:line id="直接连接符 3" o:spid="_x0000_s1026" o:spt="20" style="position:absolute;left:0pt;margin-left:9pt;margin-top:7.8pt;height:0pt;width:450pt;z-index:251662336;mso-width-relative:page;mso-height-relative:page;" filled="f" stroked="t" coordsize="21600,21600" o:gfxdata="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fpXPNIAAAAIAQAADwAAAAAAAAABACAAAAAiAAAAZHJzL2Rv&#10;d25yZXYueG1sUEsBAhQAFAAAAAgAh07iQC60ZoLOAQAAawMAAA4AAAAAAAAAAQAgAAAAIQEAAGRy&#10;cy9lMm9Eb2MueG1sUEsFBgAAAAAGAAYAWQEAAGEFAAAAAA==&#10;">
                <v:fill on="f" focussize="0,0"/>
                <v:stroke weight="1.5pt" color="#000000" joinstyle="round"/>
                <v:imagedata o:title=""/>
                <o:lock v:ext="edit" aspectratio="f"/>
              </v:line>
            </w:pict>
          </mc:Fallback>
        </mc:AlternateContent>
      </w:r>
      <w:r>
        <w:rPr>
          <w:rFonts w:hint="eastAsia"/>
          <w:b/>
          <w:color w:val="auto"/>
          <w:sz w:val="28"/>
          <w:lang w:val="nl-NL"/>
        </w:rPr>
        <w:t xml:space="preserve">          </w:t>
      </w:r>
      <w:r>
        <w:rPr>
          <w:b/>
          <w:color w:val="auto"/>
          <w:sz w:val="28"/>
          <w:lang w:val="nl-NL"/>
        </w:rPr>
        <w:t xml:space="preserve">                                                        </w:t>
      </w:r>
    </w:p>
    <w:p>
      <w:pPr>
        <w:rPr>
          <w:rFonts w:hint="eastAsia"/>
          <w:b/>
          <w:color w:val="auto"/>
          <w:sz w:val="28"/>
          <w:lang w:val="nl-NL"/>
        </w:rPr>
      </w:pPr>
    </w:p>
    <w:p>
      <w:pPr>
        <w:rPr>
          <w:rFonts w:hint="eastAsia"/>
          <w:b/>
          <w:color w:val="auto"/>
          <w:sz w:val="28"/>
          <w:lang w:val="nl-NL"/>
        </w:rPr>
      </w:pPr>
    </w:p>
    <w:p>
      <w:pPr>
        <w:tabs>
          <w:tab w:val="left" w:pos="8460"/>
        </w:tabs>
        <w:jc w:val="center"/>
        <w:outlineLvl w:val="0"/>
        <w:rPr>
          <w:rFonts w:hint="eastAsia" w:ascii="黑体" w:hAnsi="黑体" w:eastAsia="黑体"/>
          <w:b/>
          <w:color w:val="auto"/>
          <w:spacing w:val="40"/>
          <w:sz w:val="52"/>
          <w:lang w:val="nl-NL"/>
        </w:rPr>
      </w:pPr>
      <w:r>
        <w:rPr>
          <w:rFonts w:hint="eastAsia" w:ascii="黑体" w:hAnsi="黑体" w:eastAsia="黑体"/>
          <w:b/>
          <w:color w:val="auto"/>
          <w:spacing w:val="40"/>
          <w:sz w:val="52"/>
        </w:rPr>
        <w:t>超声波燃气表</w:t>
      </w:r>
    </w:p>
    <w:p>
      <w:pPr>
        <w:jc w:val="center"/>
        <w:rPr>
          <w:rFonts w:hint="eastAsia"/>
          <w:bCs/>
          <w:color w:val="auto"/>
          <w:sz w:val="32"/>
          <w:szCs w:val="32"/>
          <w:lang w:val="nl-NL"/>
        </w:rPr>
      </w:pPr>
      <w:r>
        <w:rPr>
          <w:rFonts w:hint="eastAsia"/>
          <w:bCs/>
          <w:color w:val="auto"/>
          <w:sz w:val="32"/>
          <w:szCs w:val="32"/>
          <w:lang w:val="nl-NL"/>
        </w:rPr>
        <w:t>Ultrasonic Gas Meters</w:t>
      </w:r>
    </w:p>
    <w:p>
      <w:pPr>
        <w:jc w:val="center"/>
        <w:rPr>
          <w:rFonts w:hint="eastAsia"/>
          <w:b/>
          <w:color w:val="auto"/>
          <w:sz w:val="32"/>
          <w:lang w:val="nl-NL"/>
        </w:rPr>
      </w:pPr>
      <w:r>
        <w:rPr>
          <w:rFonts w:hint="eastAsia"/>
          <w:b/>
          <w:color w:val="auto"/>
          <w:sz w:val="32"/>
          <w:lang w:val="nl-NL"/>
        </w:rPr>
        <w:t>（报批</w:t>
      </w:r>
      <w:r>
        <w:rPr>
          <w:rFonts w:hint="eastAsia"/>
          <w:b/>
          <w:color w:val="auto"/>
          <w:sz w:val="32"/>
        </w:rPr>
        <w:t>稿</w:t>
      </w:r>
      <w:r>
        <w:rPr>
          <w:rFonts w:hint="eastAsia"/>
          <w:b/>
          <w:color w:val="auto"/>
          <w:sz w:val="32"/>
          <w:lang w:val="nl-NL"/>
        </w:rPr>
        <w:t>）</w:t>
      </w:r>
    </w:p>
    <w:p>
      <w:pPr>
        <w:jc w:val="center"/>
        <w:rPr>
          <w:rFonts w:hint="eastAsia" w:ascii="黑体" w:hAnsi="Arial" w:eastAsia="黑体" w:cs="Arial"/>
          <w:color w:val="auto"/>
          <w:sz w:val="28"/>
          <w:szCs w:val="28"/>
          <w:lang w:val="nl-NL"/>
        </w:rPr>
      </w:pPr>
    </w:p>
    <w:p>
      <w:pPr>
        <w:jc w:val="center"/>
        <w:rPr>
          <w:rFonts w:ascii="黑体" w:eastAsia="黑体"/>
          <w:bCs/>
          <w:color w:val="auto"/>
          <w:sz w:val="28"/>
          <w:szCs w:val="28"/>
          <w:lang w:val="nl-NL"/>
        </w:rPr>
      </w:pPr>
      <w:r>
        <w:rPr>
          <w:rFonts w:ascii="黑体" w:eastAsia="黑体"/>
          <w:bCs/>
          <w:color w:val="auto"/>
          <w:sz w:val="28"/>
          <w:szCs w:val="28"/>
          <w:lang w:val="nl-NL"/>
        </w:rPr>
        <w:t xml:space="preserve"> </w:t>
      </w:r>
    </w:p>
    <w:p>
      <w:pPr>
        <w:jc w:val="center"/>
        <w:rPr>
          <w:rFonts w:ascii="黑体" w:eastAsia="黑体"/>
          <w:bCs/>
          <w:color w:val="auto"/>
          <w:sz w:val="52"/>
          <w:lang w:val="nl-NL"/>
        </w:rPr>
      </w:pPr>
    </w:p>
    <w:p>
      <w:pPr>
        <w:jc w:val="center"/>
        <w:rPr>
          <w:b/>
          <w:color w:val="auto"/>
          <w:sz w:val="28"/>
          <w:lang w:val="nl-NL"/>
        </w:rPr>
      </w:pPr>
    </w:p>
    <w:p>
      <w:pPr>
        <w:rPr>
          <w:rFonts w:hint="eastAsia"/>
          <w:b/>
          <w:color w:val="auto"/>
          <w:sz w:val="28"/>
          <w:lang w:val="nl-NL"/>
        </w:rPr>
      </w:pPr>
    </w:p>
    <w:p>
      <w:pPr>
        <w:rPr>
          <w:rFonts w:hint="eastAsia"/>
          <w:b/>
          <w:color w:val="auto"/>
          <w:sz w:val="28"/>
          <w:lang w:val="nl-NL"/>
        </w:rPr>
      </w:pPr>
    </w:p>
    <w:p>
      <w:pPr>
        <w:rPr>
          <w:rFonts w:hint="eastAsia"/>
          <w:b/>
          <w:color w:val="auto"/>
          <w:sz w:val="28"/>
          <w:lang w:val="nl-NL"/>
        </w:rPr>
      </w:pPr>
    </w:p>
    <w:p>
      <w:pPr>
        <w:rPr>
          <w:b/>
          <w:color w:val="auto"/>
          <w:sz w:val="28"/>
          <w:lang w:val="nl-NL"/>
        </w:rPr>
      </w:pPr>
      <w:r>
        <w:rPr>
          <w:color w:val="auto"/>
        </w:rPr>
        <mc:AlternateContent>
          <mc:Choice Requires="wps">
            <w:drawing>
              <wp:anchor distT="0" distB="0" distL="114300" distR="114300" simplePos="0" relativeHeight="251661312" behindDoc="0" locked="0" layoutInCell="1" allowOverlap="1">
                <wp:simplePos x="0" y="0"/>
                <wp:positionH relativeFrom="column">
                  <wp:posOffset>114300</wp:posOffset>
                </wp:positionH>
                <wp:positionV relativeFrom="paragraph">
                  <wp:posOffset>340360</wp:posOffset>
                </wp:positionV>
                <wp:extent cx="5600700" cy="0"/>
                <wp:effectExtent l="0" t="0" r="0" b="0"/>
                <wp:wrapNone/>
                <wp:docPr id="3"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19050">
                          <a:solidFill>
                            <a:srgbClr val="000000"/>
                          </a:solidFill>
                          <a:round/>
                        </a:ln>
                        <a:effectLst/>
                      </wps:spPr>
                      <wps:bodyPr/>
                    </wps:wsp>
                  </a:graphicData>
                </a:graphic>
              </wp:anchor>
            </w:drawing>
          </mc:Choice>
          <mc:Fallback>
            <w:pict>
              <v:line id="直接连接符 2" o:spid="_x0000_s1026" o:spt="20" style="position:absolute;left:0pt;margin-left:9pt;margin-top:26.8pt;height:0pt;width:441pt;z-index:251661312;mso-width-relative:page;mso-height-relative:page;" filled="f" stroked="t" coordsize="21600,21600" o:gfxdata="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g0Vcr1AAAAAgBAAAPAAAAAAAAAAEAIAAAACIAAABkcnMv&#10;ZG93bnJldi54bWxQSwECFAAUAAAACACHTuJAVrdX/M4BAABrAwAADgAAAAAAAAABACAAAAAjAQAA&#10;ZHJzL2Uyb0RvYy54bWxQSwUGAAAAAAYABgBZAQAAYwUAAAAA&#10;">
                <v:fill on="f" focussize="0,0"/>
                <v:stroke weight="1.5pt" color="#000000" joinstyle="round"/>
                <v:imagedata o:title=""/>
                <o:lock v:ext="edit" aspectratio="f"/>
              </v:line>
            </w:pict>
          </mc:Fallback>
        </mc:AlternateContent>
      </w:r>
      <w:r>
        <w:rPr>
          <w:rFonts w:eastAsia="黑体"/>
          <w:b/>
          <w:color w:val="auto"/>
          <w:sz w:val="28"/>
          <w:lang w:val="nl-NL"/>
        </w:rPr>
        <w:t xml:space="preserve"> </w:t>
      </w:r>
      <w:r>
        <w:rPr>
          <w:rFonts w:hint="eastAsia" w:eastAsia="黑体"/>
          <w:b/>
          <w:color w:val="auto"/>
          <w:sz w:val="28"/>
          <w:lang w:val="nl-NL"/>
        </w:rPr>
        <w:t xml:space="preserve"> </w:t>
      </w:r>
      <w:r>
        <w:rPr>
          <w:rFonts w:hint="eastAsia" w:ascii="黑体" w:hAnsi="黑体" w:eastAsia="黑体"/>
          <w:b/>
          <w:color w:val="auto"/>
          <w:sz w:val="28"/>
          <w:lang w:val="nl-NL"/>
        </w:rPr>
        <w:t xml:space="preserve"> </w:t>
      </w:r>
      <w:r>
        <w:rPr>
          <w:rFonts w:ascii="黑体" w:hAnsi="黑体" w:eastAsia="黑体"/>
          <w:b/>
          <w:color w:val="auto"/>
          <w:sz w:val="28"/>
          <w:lang w:val="nl-NL"/>
        </w:rPr>
        <w:t>20</w:t>
      </w:r>
      <w:r>
        <w:rPr>
          <w:rFonts w:hint="eastAsia" w:ascii="黑体" w:hAnsi="黑体" w:eastAsia="黑体"/>
          <w:b/>
          <w:color w:val="auto"/>
          <w:sz w:val="28"/>
          <w:lang w:val="nl-NL"/>
        </w:rPr>
        <w:t>1X</w:t>
      </w:r>
      <w:r>
        <w:rPr>
          <w:rFonts w:hint="eastAsia" w:ascii="黑体" w:hAnsi="黑体" w:eastAsia="黑体"/>
          <w:color w:val="auto"/>
          <w:sz w:val="28"/>
          <w:lang w:val="nl-NL"/>
        </w:rPr>
        <w:t>－××－××</w:t>
      </w:r>
      <w:r>
        <w:rPr>
          <w:rFonts w:hint="eastAsia" w:ascii="黑体" w:hAnsi="黑体" w:eastAsia="黑体"/>
          <w:b/>
          <w:color w:val="auto"/>
          <w:sz w:val="28"/>
        </w:rPr>
        <w:t>发布</w:t>
      </w:r>
      <w:r>
        <w:rPr>
          <w:rFonts w:hint="eastAsia" w:ascii="黑体" w:eastAsia="黑体"/>
          <w:b/>
          <w:color w:val="auto"/>
          <w:sz w:val="28"/>
          <w:lang w:val="nl-NL"/>
        </w:rPr>
        <w:t xml:space="preserve">                    </w:t>
      </w:r>
      <w:r>
        <w:rPr>
          <w:rFonts w:ascii="黑体" w:hAnsi="黑体" w:eastAsia="黑体"/>
          <w:b/>
          <w:color w:val="auto"/>
          <w:sz w:val="28"/>
          <w:lang w:val="nl-NL"/>
        </w:rPr>
        <w:t>20</w:t>
      </w:r>
      <w:r>
        <w:rPr>
          <w:rFonts w:hint="eastAsia" w:ascii="黑体" w:hAnsi="黑体" w:eastAsia="黑体"/>
          <w:b/>
          <w:color w:val="auto"/>
          <w:sz w:val="28"/>
          <w:lang w:val="nl-NL"/>
        </w:rPr>
        <w:t>1X</w:t>
      </w:r>
      <w:r>
        <w:rPr>
          <w:rFonts w:hint="eastAsia" w:ascii="黑体" w:hAnsi="黑体" w:eastAsia="黑体"/>
          <w:color w:val="auto"/>
          <w:sz w:val="28"/>
          <w:lang w:val="nl-NL"/>
        </w:rPr>
        <w:t>－××－××</w:t>
      </w:r>
      <w:r>
        <w:rPr>
          <w:rFonts w:hint="eastAsia" w:ascii="黑体" w:eastAsia="黑体"/>
          <w:b/>
          <w:color w:val="auto"/>
          <w:sz w:val="28"/>
        </w:rPr>
        <w:t>实施</w:t>
      </w:r>
    </w:p>
    <w:p>
      <w:pPr>
        <w:tabs>
          <w:tab w:val="left" w:pos="1620"/>
          <w:tab w:val="left" w:pos="1800"/>
        </w:tabs>
        <w:spacing w:line="360" w:lineRule="auto"/>
        <w:jc w:val="center"/>
        <w:rPr>
          <w:rFonts w:ascii="宋体" w:hAnsi="宋体"/>
          <w:b/>
          <w:color w:val="auto"/>
          <w:sz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418" w:bottom="1440" w:left="1418" w:header="851" w:footer="992" w:gutter="0"/>
          <w:pgNumType w:start="0"/>
          <w:cols w:space="720" w:num="1"/>
          <w:titlePg/>
          <w:docGrid w:type="lines" w:linePitch="312" w:charSpace="0"/>
        </w:sectPr>
      </w:pPr>
      <w:r>
        <w:rPr>
          <w:rFonts w:hint="eastAsia" w:ascii="宋体" w:hAnsi="宋体"/>
          <w:b/>
          <w:bCs/>
          <w:color w:val="auto"/>
          <w:spacing w:val="-32"/>
          <w:sz w:val="44"/>
          <w:szCs w:val="44"/>
          <w:lang w:val="nl-NL"/>
        </w:rPr>
        <w:t xml:space="preserve">   湖南省市场监督管理局</w:t>
      </w:r>
      <w:r>
        <w:rPr>
          <w:rFonts w:hint="eastAsia" w:ascii="宋体" w:hAnsi="宋体"/>
          <w:color w:val="auto"/>
          <w:sz w:val="44"/>
          <w:lang w:val="nl-NL"/>
        </w:rPr>
        <w:t xml:space="preserve"> </w:t>
      </w:r>
      <w:r>
        <w:rPr>
          <w:rFonts w:hint="eastAsia" w:ascii="宋体" w:hAnsi="宋体"/>
          <w:b/>
          <w:color w:val="auto"/>
          <w:sz w:val="28"/>
        </w:rPr>
        <w:t>发</w:t>
      </w:r>
      <w:r>
        <w:rPr>
          <w:rFonts w:hint="eastAsia" w:ascii="宋体" w:hAnsi="宋体"/>
          <w:b/>
          <w:color w:val="auto"/>
          <w:sz w:val="28"/>
          <w:lang w:val="nl-NL"/>
        </w:rPr>
        <w:t xml:space="preserve"> </w:t>
      </w:r>
      <w:r>
        <w:rPr>
          <w:rFonts w:hint="eastAsia" w:ascii="宋体" w:hAnsi="宋体"/>
          <w:b/>
          <w:color w:val="auto"/>
          <w:sz w:val="28"/>
        </w:rPr>
        <w:t>布</w:t>
      </w:r>
    </w:p>
    <w:p>
      <w:pPr>
        <w:tabs>
          <w:tab w:val="left" w:pos="1620"/>
          <w:tab w:val="left" w:pos="1800"/>
        </w:tabs>
        <w:spacing w:line="360" w:lineRule="auto"/>
        <w:outlineLvl w:val="0"/>
        <w:rPr>
          <w:rFonts w:hint="eastAsia" w:ascii="黑体" w:eastAsia="黑体"/>
          <w:color w:val="auto"/>
          <w:sz w:val="44"/>
          <w:szCs w:val="44"/>
          <w:lang w:val="nl-NL"/>
        </w:rPr>
      </w:pPr>
      <w:bookmarkStart w:id="1" w:name="_Toc241380363"/>
      <w:r>
        <w:rPr>
          <w:color w:val="auto"/>
        </w:rPr>
        <mc:AlternateContent>
          <mc:Choice Requires="wps">
            <w:drawing>
              <wp:anchor distT="0" distB="0" distL="114300" distR="114300" simplePos="0" relativeHeight="251660288" behindDoc="0" locked="0" layoutInCell="1" allowOverlap="1">
                <wp:simplePos x="0" y="0"/>
                <wp:positionH relativeFrom="column">
                  <wp:posOffset>3871595</wp:posOffset>
                </wp:positionH>
                <wp:positionV relativeFrom="paragraph">
                  <wp:posOffset>533400</wp:posOffset>
                </wp:positionV>
                <wp:extent cx="1809750" cy="655320"/>
                <wp:effectExtent l="13970" t="13970" r="24130" b="16510"/>
                <wp:wrapNone/>
                <wp:docPr id="2" name="矩形 1"/>
                <wp:cNvGraphicFramePr/>
                <a:graphic xmlns:a="http://schemas.openxmlformats.org/drawingml/2006/main">
                  <a:graphicData uri="http://schemas.microsoft.com/office/word/2010/wordprocessingShape">
                    <wps:wsp>
                      <wps:cNvSpPr>
                        <a:spLocks noChangeArrowheads="1"/>
                      </wps:cNvSpPr>
                      <wps:spPr bwMode="auto">
                        <a:xfrm>
                          <a:off x="0" y="0"/>
                          <a:ext cx="1809750" cy="655320"/>
                        </a:xfrm>
                        <a:prstGeom prst="rect">
                          <a:avLst/>
                        </a:prstGeom>
                        <a:noFill/>
                        <a:ln w="28575" cap="rnd">
                          <a:solidFill>
                            <a:srgbClr val="000000"/>
                          </a:solidFill>
                          <a:prstDash val="sysDot"/>
                          <a:miter lim="800000"/>
                        </a:ln>
                        <a:effectLst/>
                      </wps:spPr>
                      <wps:bodyPr rot="0" vert="horz" wrap="square" lIns="91440" tIns="45720" rIns="91440" bIns="45720" anchor="t" anchorCtr="0" upright="1">
                        <a:noAutofit/>
                      </wps:bodyPr>
                    </wps:wsp>
                  </a:graphicData>
                </a:graphic>
              </wp:anchor>
            </w:drawing>
          </mc:Choice>
          <mc:Fallback>
            <w:pict>
              <v:rect id="矩形 1" o:spid="_x0000_s1026" o:spt="1" style="position:absolute;left:0pt;margin-left:304.85pt;margin-top:42pt;height:51.6pt;width:142.5pt;z-index:251660288;mso-width-relative:page;mso-height-relative:page;" filled="f" stroked="t" coordsize="21600,21600" o:gfxdata="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J1Z9zrWAAAACgEAAA8AAAAAAAAAAQAgAAAAIgAAAGRycy9kb3ducmV2LnhtbFBLAQIUABQA&#10;AAAIAIdO4kAo2ld+KwIAACsEAAAOAAAAAAAAAAEAIAAAACUBAABkcnMvZTJvRG9jLnhtbFBLBQYA&#10;AAAABgAGAFkBAADCBQAAAAA=&#10;">
                <v:fill on="f" focussize="0,0"/>
                <v:stroke weight="2.25pt" color="#000000" miterlimit="8" joinstyle="miter" dashstyle="1 1" endcap="round"/>
                <v:imagedata o:title=""/>
                <o:lock v:ext="edit" aspectratio="f"/>
              </v:rect>
            </w:pict>
          </mc:Fallback>
        </mc:AlternateContent>
      </w:r>
      <w:bookmarkEnd w:id="1"/>
      <w:r>
        <w:rPr>
          <w:rFonts w:hint="eastAsia" w:ascii="黑体" w:eastAsia="黑体"/>
          <w:color w:val="auto"/>
          <w:sz w:val="44"/>
          <w:szCs w:val="44"/>
        </w:rPr>
        <w:t>超声波燃气表检定规程</w:t>
      </w:r>
    </w:p>
    <w:p>
      <w:pPr>
        <w:tabs>
          <w:tab w:val="left" w:pos="3885"/>
        </w:tabs>
        <w:ind w:firstLine="320" w:firstLineChars="100"/>
        <w:outlineLvl w:val="0"/>
        <w:rPr>
          <w:rFonts w:hint="eastAsia" w:eastAsia="黑体"/>
          <w:color w:val="auto"/>
          <w:sz w:val="32"/>
          <w:lang w:val="nl-NL"/>
        </w:rPr>
      </w:pPr>
      <w:r>
        <w:rPr>
          <w:rFonts w:hint="eastAsia" w:eastAsia="黑体"/>
          <w:color w:val="auto"/>
          <w:sz w:val="32"/>
          <w:lang w:val="nl-NL"/>
        </w:rPr>
        <w:t>Verification Regulation of</w:t>
      </w:r>
    </w:p>
    <w:p>
      <w:pPr>
        <w:spacing w:line="300" w:lineRule="exact"/>
        <w:rPr>
          <w:rFonts w:hint="eastAsia" w:eastAsia="黑体"/>
          <w:color w:val="auto"/>
          <w:lang w:val="en-US" w:eastAsia="zh-CN"/>
        </w:rPr>
      </w:pPr>
      <w:r>
        <w:rPr>
          <w:rFonts w:eastAsia="黑体"/>
          <w:color w:val="auto"/>
          <w:sz w:val="32"/>
          <w:lang w:val="nl-NL"/>
        </w:rPr>
        <w:t>U</w:t>
      </w:r>
      <w:r>
        <w:rPr>
          <w:rFonts w:hint="eastAsia" w:eastAsia="黑体"/>
          <w:color w:val="auto"/>
          <w:sz w:val="32"/>
          <w:lang w:val="nl-NL"/>
        </w:rPr>
        <w:t>l</w:t>
      </w:r>
      <w:r>
        <w:rPr>
          <w:rFonts w:eastAsia="黑体"/>
          <w:color w:val="auto"/>
          <w:sz w:val="32"/>
          <w:lang w:val="nl-NL"/>
        </w:rPr>
        <w:t>trasonic</w:t>
      </w:r>
      <w:r>
        <w:rPr>
          <w:rFonts w:hint="eastAsia" w:eastAsia="黑体"/>
          <w:color w:val="auto"/>
          <w:sz w:val="32"/>
          <w:lang w:val="nl-NL"/>
        </w:rPr>
        <w:t xml:space="preserve"> G</w:t>
      </w:r>
      <w:r>
        <w:rPr>
          <w:rFonts w:eastAsia="黑体"/>
          <w:color w:val="auto"/>
          <w:sz w:val="32"/>
          <w:lang w:val="nl-NL"/>
        </w:rPr>
        <w:t xml:space="preserve">as </w:t>
      </w:r>
      <w:r>
        <w:rPr>
          <w:rFonts w:hint="eastAsia" w:eastAsia="黑体"/>
          <w:color w:val="auto"/>
          <w:sz w:val="32"/>
          <w:lang w:val="nl-NL"/>
        </w:rPr>
        <w:t>M</w:t>
      </w:r>
      <w:r>
        <w:rPr>
          <w:rFonts w:eastAsia="黑体"/>
          <w:color w:val="auto"/>
          <w:sz w:val="32"/>
          <w:lang w:val="nl-NL"/>
        </w:rPr>
        <w:t>eters</w:t>
      </w:r>
      <w:r>
        <w:rPr>
          <w:rFonts w:hint="eastAsia" w:eastAsia="黑体"/>
          <w:color w:val="auto"/>
          <w:sz w:val="32"/>
          <w:lang w:val="nl-NL"/>
        </w:rPr>
        <w:tab/>
      </w:r>
      <w:r>
        <w:rPr>
          <w:rFonts w:hint="eastAsia" w:eastAsia="黑体"/>
          <w:color w:val="auto"/>
          <w:sz w:val="32"/>
        </w:rPr>
        <w:t xml:space="preserve">                     </w:t>
      </w:r>
      <w:r>
        <w:rPr>
          <w:rFonts w:hint="eastAsia" w:ascii="黑体" w:hAnsi="宋体" w:eastAsia="黑体"/>
          <w:color w:val="auto"/>
          <w:spacing w:val="-20"/>
          <w:sz w:val="28"/>
          <w:szCs w:val="28"/>
        </w:rPr>
        <w:t>JJG（湘）×××</w:t>
      </w:r>
      <w:r>
        <w:rPr>
          <w:rFonts w:hint="eastAsia" w:ascii="黑体" w:eastAsia="黑体"/>
          <w:color w:val="auto"/>
          <w:spacing w:val="-20"/>
          <w:sz w:val="28"/>
          <w:szCs w:val="28"/>
        </w:rPr>
        <w:t>—201</w:t>
      </w:r>
      <w:r>
        <w:rPr>
          <w:rFonts w:hint="eastAsia" w:ascii="黑体" w:eastAsia="黑体"/>
          <w:color w:val="auto"/>
          <w:spacing w:val="-20"/>
          <w:sz w:val="28"/>
          <w:szCs w:val="28"/>
          <w:lang w:val="en-US" w:eastAsia="zh-CN"/>
        </w:rPr>
        <w:t>9</w:t>
      </w:r>
      <w:bookmarkStart w:id="219" w:name="_GoBack"/>
      <w:bookmarkEnd w:id="219"/>
    </w:p>
    <w:p>
      <w:pPr>
        <w:tabs>
          <w:tab w:val="left" w:pos="1620"/>
          <w:tab w:val="left" w:pos="1800"/>
        </w:tabs>
        <w:spacing w:line="360" w:lineRule="auto"/>
        <w:rPr>
          <w:rFonts w:hint="eastAsia"/>
          <w:color w:val="auto"/>
          <w:sz w:val="28"/>
          <w:u w:val="single"/>
          <w:lang w:val="nl-NL"/>
        </w:rPr>
      </w:pPr>
      <w:r>
        <w:rPr>
          <w:rFonts w:hint="eastAsia"/>
          <w:color w:val="auto"/>
          <w:sz w:val="28"/>
          <w:u w:val="single"/>
          <w:lang w:val="nl-NL"/>
        </w:rPr>
        <w:t xml:space="preserve">                                                                 </w:t>
      </w:r>
    </w:p>
    <w:p>
      <w:pPr>
        <w:tabs>
          <w:tab w:val="left" w:pos="1620"/>
          <w:tab w:val="left" w:pos="1800"/>
        </w:tabs>
        <w:spacing w:line="360" w:lineRule="auto"/>
        <w:ind w:firstLine="560" w:firstLineChars="200"/>
        <w:rPr>
          <w:color w:val="auto"/>
          <w:sz w:val="28"/>
        </w:rPr>
      </w:pPr>
      <w:r>
        <w:rPr>
          <w:rFonts w:hint="eastAsia"/>
          <w:color w:val="auto"/>
          <w:sz w:val="28"/>
        </w:rPr>
        <w:t xml:space="preserve"> </w:t>
      </w:r>
    </w:p>
    <w:p>
      <w:pPr>
        <w:tabs>
          <w:tab w:val="left" w:pos="1620"/>
          <w:tab w:val="left" w:pos="1800"/>
        </w:tabs>
        <w:spacing w:line="360" w:lineRule="auto"/>
        <w:ind w:firstLine="560" w:firstLineChars="200"/>
        <w:rPr>
          <w:color w:val="auto"/>
          <w:sz w:val="28"/>
        </w:rPr>
      </w:pPr>
    </w:p>
    <w:p>
      <w:pPr>
        <w:tabs>
          <w:tab w:val="left" w:pos="1620"/>
          <w:tab w:val="left" w:pos="1800"/>
        </w:tabs>
        <w:spacing w:line="360" w:lineRule="auto"/>
        <w:ind w:firstLine="560" w:firstLineChars="200"/>
        <w:rPr>
          <w:rFonts w:hint="eastAsia"/>
          <w:color w:val="auto"/>
          <w:sz w:val="28"/>
          <w:u w:val="single"/>
          <w:lang w:val="nl-NL"/>
        </w:rPr>
      </w:pPr>
      <w:r>
        <w:rPr>
          <w:rFonts w:hint="eastAsia"/>
          <w:color w:val="auto"/>
          <w:sz w:val="28"/>
          <w:lang w:val="nl-NL"/>
        </w:rPr>
        <w:t xml:space="preserve"> </w:t>
      </w:r>
    </w:p>
    <w:p>
      <w:pPr>
        <w:tabs>
          <w:tab w:val="left" w:pos="1620"/>
          <w:tab w:val="left" w:pos="1800"/>
        </w:tabs>
        <w:spacing w:line="360" w:lineRule="auto"/>
        <w:ind w:firstLine="280"/>
        <w:outlineLvl w:val="0"/>
        <w:rPr>
          <w:rFonts w:hint="eastAsia"/>
          <w:color w:val="auto"/>
          <w:sz w:val="28"/>
        </w:rPr>
      </w:pPr>
      <w:r>
        <w:rPr>
          <w:rFonts w:hint="eastAsia"/>
          <w:color w:val="auto"/>
          <w:sz w:val="28"/>
          <w:lang w:val="nl-NL"/>
        </w:rPr>
        <w:t xml:space="preserve"> </w:t>
      </w:r>
      <w:r>
        <w:rPr>
          <w:rFonts w:hint="eastAsia" w:ascii="黑体" w:eastAsia="黑体"/>
          <w:color w:val="auto"/>
          <w:sz w:val="28"/>
          <w:lang w:val="nl-NL"/>
        </w:rPr>
        <w:t xml:space="preserve"> </w:t>
      </w:r>
      <w:bookmarkStart w:id="2" w:name="_Toc241380366"/>
      <w:r>
        <w:rPr>
          <w:rFonts w:hint="eastAsia" w:ascii="黑体" w:eastAsia="黑体"/>
          <w:color w:val="auto"/>
          <w:sz w:val="28"/>
        </w:rPr>
        <w:t>归  口 单 位：</w:t>
      </w:r>
      <w:bookmarkEnd w:id="2"/>
      <w:r>
        <w:rPr>
          <w:rFonts w:hint="eastAsia" w:ascii="黑体" w:eastAsia="黑体"/>
          <w:color w:val="auto"/>
          <w:sz w:val="28"/>
        </w:rPr>
        <w:t xml:space="preserve">  </w:t>
      </w:r>
      <w:r>
        <w:rPr>
          <w:rFonts w:hint="eastAsia"/>
          <w:color w:val="auto"/>
          <w:sz w:val="28"/>
        </w:rPr>
        <w:t xml:space="preserve">湖南省市场监督管理局 </w:t>
      </w:r>
    </w:p>
    <w:p>
      <w:pPr>
        <w:tabs>
          <w:tab w:val="left" w:pos="1620"/>
          <w:tab w:val="left" w:pos="1800"/>
        </w:tabs>
        <w:spacing w:line="360" w:lineRule="auto"/>
        <w:ind w:firstLine="555"/>
        <w:rPr>
          <w:rFonts w:hint="eastAsia" w:eastAsia="黑体"/>
          <w:color w:val="auto"/>
          <w:sz w:val="28"/>
        </w:rPr>
      </w:pPr>
      <w:r>
        <w:rPr>
          <w:rFonts w:hint="eastAsia" w:ascii="黑体" w:eastAsia="黑体"/>
          <w:color w:val="auto"/>
          <w:sz w:val="28"/>
        </w:rPr>
        <w:t xml:space="preserve">主要起草单位：  </w:t>
      </w:r>
      <w:r>
        <w:rPr>
          <w:rFonts w:hint="eastAsia"/>
          <w:color w:val="auto"/>
          <w:sz w:val="28"/>
        </w:rPr>
        <w:t>湖南省计量检测研究院</w:t>
      </w:r>
    </w:p>
    <w:p>
      <w:pPr>
        <w:tabs>
          <w:tab w:val="left" w:pos="1620"/>
          <w:tab w:val="left" w:pos="1800"/>
        </w:tabs>
        <w:spacing w:line="360" w:lineRule="auto"/>
        <w:ind w:firstLine="555"/>
        <w:rPr>
          <w:color w:val="auto"/>
          <w:sz w:val="28"/>
        </w:rPr>
      </w:pPr>
      <w:r>
        <w:rPr>
          <w:rFonts w:hint="eastAsia"/>
          <w:color w:val="auto"/>
          <w:sz w:val="28"/>
        </w:rPr>
        <w:t xml:space="preserve">                </w:t>
      </w:r>
    </w:p>
    <w:p>
      <w:pPr>
        <w:tabs>
          <w:tab w:val="left" w:pos="1620"/>
          <w:tab w:val="left" w:pos="1800"/>
        </w:tabs>
        <w:spacing w:line="360" w:lineRule="auto"/>
        <w:ind w:firstLine="555"/>
        <w:rPr>
          <w:rFonts w:hint="eastAsia"/>
          <w:color w:val="auto"/>
          <w:sz w:val="28"/>
        </w:rPr>
      </w:pPr>
    </w:p>
    <w:p>
      <w:pPr>
        <w:tabs>
          <w:tab w:val="left" w:pos="1620"/>
          <w:tab w:val="left" w:pos="1800"/>
        </w:tabs>
        <w:spacing w:line="360" w:lineRule="auto"/>
        <w:ind w:firstLine="555"/>
        <w:rPr>
          <w:rFonts w:hint="eastAsia"/>
          <w:color w:val="auto"/>
          <w:sz w:val="28"/>
        </w:rPr>
      </w:pPr>
      <w:r>
        <w:rPr>
          <w:rFonts w:hint="eastAsia" w:ascii="黑体" w:eastAsia="黑体"/>
          <w:color w:val="auto"/>
          <w:sz w:val="28"/>
        </w:rPr>
        <w:t>参加起草单位：</w:t>
      </w:r>
      <w:r>
        <w:rPr>
          <w:rFonts w:hint="eastAsia"/>
          <w:color w:val="auto"/>
          <w:sz w:val="28"/>
        </w:rPr>
        <w:t xml:space="preserve"> </w:t>
      </w:r>
      <w:bookmarkStart w:id="3" w:name="_Toc241380367"/>
      <w:r>
        <w:rPr>
          <w:rFonts w:hint="eastAsia"/>
          <w:color w:val="auto"/>
          <w:sz w:val="28"/>
        </w:rPr>
        <w:t xml:space="preserve"> 湖南银通科技有限责任公司</w:t>
      </w:r>
    </w:p>
    <w:p>
      <w:pPr>
        <w:tabs>
          <w:tab w:val="left" w:pos="1620"/>
          <w:tab w:val="left" w:pos="1800"/>
        </w:tabs>
        <w:spacing w:line="360" w:lineRule="auto"/>
        <w:ind w:firstLine="2835"/>
        <w:rPr>
          <w:rFonts w:hint="eastAsia"/>
          <w:color w:val="auto"/>
          <w:sz w:val="28"/>
        </w:rPr>
      </w:pPr>
      <w:r>
        <w:rPr>
          <w:rFonts w:hint="eastAsia"/>
          <w:color w:val="auto"/>
          <w:sz w:val="28"/>
        </w:rPr>
        <w:t>长沙新奥燃气有限公司</w:t>
      </w:r>
    </w:p>
    <w:p>
      <w:pPr>
        <w:tabs>
          <w:tab w:val="left" w:pos="1620"/>
          <w:tab w:val="left" w:pos="1800"/>
        </w:tabs>
        <w:spacing w:line="360" w:lineRule="auto"/>
        <w:ind w:firstLine="2835"/>
        <w:rPr>
          <w:rFonts w:hint="eastAsia"/>
          <w:color w:val="auto"/>
          <w:sz w:val="28"/>
        </w:rPr>
      </w:pPr>
      <w:r>
        <w:rPr>
          <w:rFonts w:hint="eastAsia"/>
          <w:color w:val="auto"/>
          <w:sz w:val="28"/>
        </w:rPr>
        <w:t>浙江威星智能仪表股份有限公司</w:t>
      </w:r>
    </w:p>
    <w:p>
      <w:pPr>
        <w:tabs>
          <w:tab w:val="left" w:pos="1620"/>
          <w:tab w:val="left" w:pos="1800"/>
        </w:tabs>
        <w:spacing w:line="360" w:lineRule="auto"/>
        <w:ind w:firstLine="2835"/>
        <w:rPr>
          <w:rFonts w:hint="eastAsia"/>
          <w:color w:val="auto"/>
          <w:sz w:val="28"/>
        </w:rPr>
      </w:pPr>
      <w:r>
        <w:rPr>
          <w:rFonts w:hint="eastAsia"/>
          <w:color w:val="auto"/>
          <w:sz w:val="28"/>
        </w:rPr>
        <w:t>辽宁思凯科技股份有限公司</w:t>
      </w:r>
    </w:p>
    <w:p>
      <w:pPr>
        <w:tabs>
          <w:tab w:val="left" w:pos="1620"/>
          <w:tab w:val="left" w:pos="1800"/>
        </w:tabs>
        <w:spacing w:line="360" w:lineRule="auto"/>
        <w:ind w:firstLine="2835"/>
        <w:rPr>
          <w:rFonts w:hint="eastAsia"/>
          <w:color w:val="auto"/>
          <w:sz w:val="28"/>
        </w:rPr>
      </w:pPr>
      <w:r>
        <w:rPr>
          <w:rFonts w:hint="eastAsia"/>
          <w:color w:val="auto"/>
          <w:sz w:val="28"/>
        </w:rPr>
        <w:t xml:space="preserve">           </w:t>
      </w:r>
    </w:p>
    <w:p>
      <w:pPr>
        <w:tabs>
          <w:tab w:val="left" w:pos="1620"/>
          <w:tab w:val="left" w:pos="1800"/>
        </w:tabs>
        <w:spacing w:line="360" w:lineRule="auto"/>
        <w:ind w:firstLine="2520" w:firstLineChars="900"/>
        <w:rPr>
          <w:rFonts w:hint="eastAsia"/>
          <w:color w:val="auto"/>
          <w:sz w:val="28"/>
        </w:rPr>
      </w:pPr>
      <w:r>
        <w:rPr>
          <w:rFonts w:hint="eastAsia"/>
          <w:color w:val="auto"/>
          <w:sz w:val="28"/>
        </w:rPr>
        <w:t xml:space="preserve">           </w:t>
      </w:r>
    </w:p>
    <w:p>
      <w:pPr>
        <w:tabs>
          <w:tab w:val="left" w:pos="1620"/>
          <w:tab w:val="left" w:pos="1800"/>
        </w:tabs>
        <w:spacing w:line="360" w:lineRule="auto"/>
        <w:ind w:firstLine="2520" w:firstLineChars="900"/>
        <w:rPr>
          <w:rFonts w:hint="eastAsia"/>
          <w:color w:val="auto"/>
          <w:sz w:val="28"/>
        </w:rPr>
      </w:pPr>
    </w:p>
    <w:p>
      <w:pPr>
        <w:tabs>
          <w:tab w:val="left" w:pos="1620"/>
          <w:tab w:val="left" w:pos="1800"/>
        </w:tabs>
        <w:spacing w:line="360" w:lineRule="auto"/>
        <w:ind w:firstLine="2520" w:firstLineChars="900"/>
        <w:rPr>
          <w:rFonts w:hint="eastAsia"/>
          <w:color w:val="auto"/>
          <w:sz w:val="28"/>
        </w:rPr>
      </w:pPr>
    </w:p>
    <w:p>
      <w:pPr>
        <w:tabs>
          <w:tab w:val="left" w:pos="1620"/>
          <w:tab w:val="left" w:pos="1800"/>
        </w:tabs>
        <w:spacing w:line="360" w:lineRule="auto"/>
        <w:ind w:firstLine="2520" w:firstLineChars="900"/>
        <w:rPr>
          <w:rFonts w:hint="eastAsia"/>
          <w:color w:val="auto"/>
          <w:sz w:val="28"/>
        </w:rPr>
      </w:pPr>
    </w:p>
    <w:p>
      <w:pPr>
        <w:spacing w:line="360" w:lineRule="auto"/>
        <w:ind w:firstLine="420"/>
        <w:rPr>
          <w:rFonts w:hint="eastAsia"/>
          <w:color w:val="auto"/>
          <w:sz w:val="28"/>
        </w:rPr>
      </w:pPr>
    </w:p>
    <w:p>
      <w:pPr>
        <w:spacing w:line="360" w:lineRule="auto"/>
        <w:jc w:val="center"/>
        <w:rPr>
          <w:color w:val="auto"/>
        </w:rPr>
        <w:sectPr>
          <w:headerReference r:id="rId9" w:type="first"/>
          <w:pgSz w:w="11906" w:h="16838"/>
          <w:pgMar w:top="1440" w:right="1418" w:bottom="1440" w:left="1418" w:header="851" w:footer="992" w:gutter="0"/>
          <w:pgNumType w:start="0"/>
          <w:cols w:space="720" w:num="1"/>
          <w:titlePg/>
          <w:docGrid w:type="lines" w:linePitch="312" w:charSpace="0"/>
        </w:sectPr>
      </w:pPr>
      <w:r>
        <w:rPr>
          <w:rFonts w:hint="eastAsia"/>
          <w:color w:val="auto"/>
          <w:sz w:val="28"/>
        </w:rPr>
        <w:t>本规程技术条文由湖南省计量检测研究院负责解释</w:t>
      </w:r>
      <w:bookmarkEnd w:id="3"/>
    </w:p>
    <w:p>
      <w:pPr>
        <w:tabs>
          <w:tab w:val="left" w:pos="1620"/>
        </w:tabs>
        <w:spacing w:line="360" w:lineRule="auto"/>
        <w:ind w:firstLine="550"/>
        <w:outlineLvl w:val="0"/>
        <w:rPr>
          <w:rFonts w:hint="eastAsia" w:ascii="黑体" w:hAnsi="宋体" w:eastAsia="黑体"/>
          <w:color w:val="auto"/>
          <w:sz w:val="28"/>
        </w:rPr>
      </w:pPr>
    </w:p>
    <w:p>
      <w:pPr>
        <w:tabs>
          <w:tab w:val="left" w:pos="1620"/>
        </w:tabs>
        <w:spacing w:line="360" w:lineRule="auto"/>
        <w:ind w:firstLine="550"/>
        <w:outlineLvl w:val="0"/>
        <w:rPr>
          <w:rFonts w:hint="eastAsia" w:ascii="黑体" w:hAnsi="宋体" w:eastAsia="黑体"/>
          <w:color w:val="auto"/>
          <w:sz w:val="28"/>
        </w:rPr>
      </w:pPr>
      <w:r>
        <w:rPr>
          <w:rFonts w:hint="eastAsia" w:ascii="黑体" w:hAnsi="宋体" w:eastAsia="黑体"/>
          <w:color w:val="auto"/>
          <w:sz w:val="28"/>
        </w:rPr>
        <w:t>本规程主要起草人：</w:t>
      </w:r>
      <w:bookmarkEnd w:id="0"/>
    </w:p>
    <w:p>
      <w:pPr>
        <w:tabs>
          <w:tab w:val="left" w:pos="1620"/>
        </w:tabs>
        <w:spacing w:line="360" w:lineRule="auto"/>
        <w:ind w:firstLine="1680" w:firstLineChars="600"/>
        <w:outlineLvl w:val="0"/>
        <w:rPr>
          <w:rFonts w:hint="eastAsia" w:ascii="宋体" w:hAnsi="宋体"/>
          <w:color w:val="auto"/>
          <w:sz w:val="28"/>
        </w:rPr>
      </w:pPr>
      <w:r>
        <w:rPr>
          <w:rFonts w:hint="eastAsia" w:ascii="宋体" w:hAnsi="宋体"/>
          <w:color w:val="auto"/>
          <w:sz w:val="28"/>
        </w:rPr>
        <w:t>李  宁</w:t>
      </w:r>
      <w:r>
        <w:rPr>
          <w:rFonts w:hint="eastAsia" w:ascii="宋体" w:hAnsi="宋体"/>
          <w:color w:val="auto"/>
          <w:sz w:val="28"/>
        </w:rPr>
        <w:tab/>
      </w:r>
      <w:r>
        <w:rPr>
          <w:rFonts w:ascii="宋体" w:hAnsi="宋体"/>
          <w:color w:val="auto"/>
          <w:sz w:val="28"/>
        </w:rPr>
        <w:t xml:space="preserve">    </w:t>
      </w:r>
      <w:r>
        <w:rPr>
          <w:rFonts w:hint="eastAsia"/>
          <w:color w:val="auto"/>
          <w:sz w:val="28"/>
        </w:rPr>
        <w:t>湖南省计量检测研究院</w:t>
      </w:r>
    </w:p>
    <w:p>
      <w:pPr>
        <w:tabs>
          <w:tab w:val="left" w:pos="1620"/>
        </w:tabs>
        <w:spacing w:line="360" w:lineRule="auto"/>
        <w:ind w:firstLine="1680" w:firstLineChars="600"/>
        <w:outlineLvl w:val="0"/>
        <w:rPr>
          <w:rFonts w:hint="eastAsia" w:ascii="宋体" w:hAnsi="宋体"/>
          <w:color w:val="auto"/>
          <w:sz w:val="28"/>
        </w:rPr>
      </w:pPr>
      <w:r>
        <w:rPr>
          <w:rFonts w:hint="eastAsia" w:ascii="宋体" w:hAnsi="宋体"/>
          <w:color w:val="auto"/>
          <w:sz w:val="28"/>
        </w:rPr>
        <w:t xml:space="preserve">陈  明     </w:t>
      </w:r>
      <w:r>
        <w:rPr>
          <w:rFonts w:hint="eastAsia" w:ascii="宋体" w:hAnsi="宋体"/>
          <w:color w:val="auto"/>
          <w:sz w:val="28"/>
        </w:rPr>
        <w:tab/>
      </w:r>
      <w:r>
        <w:rPr>
          <w:rFonts w:ascii="宋体" w:hAnsi="宋体"/>
          <w:color w:val="auto"/>
          <w:sz w:val="28"/>
        </w:rPr>
        <w:t xml:space="preserve"> </w:t>
      </w:r>
      <w:r>
        <w:rPr>
          <w:rFonts w:hint="eastAsia"/>
          <w:color w:val="auto"/>
          <w:sz w:val="28"/>
        </w:rPr>
        <w:t>湖南省计量检测研究院</w:t>
      </w:r>
    </w:p>
    <w:p>
      <w:pPr>
        <w:tabs>
          <w:tab w:val="left" w:pos="1620"/>
        </w:tabs>
        <w:spacing w:line="360" w:lineRule="auto"/>
        <w:ind w:firstLine="550"/>
        <w:outlineLvl w:val="0"/>
        <w:rPr>
          <w:rFonts w:hint="eastAsia" w:ascii="黑体" w:hAnsi="宋体" w:eastAsia="黑体"/>
          <w:color w:val="auto"/>
          <w:sz w:val="28"/>
        </w:rPr>
      </w:pPr>
      <w:r>
        <w:rPr>
          <w:rFonts w:hint="eastAsia" w:ascii="黑体" w:hAnsi="宋体" w:eastAsia="黑体"/>
          <w:color w:val="auto"/>
          <w:sz w:val="28"/>
        </w:rPr>
        <w:t xml:space="preserve">                  </w:t>
      </w:r>
    </w:p>
    <w:p>
      <w:pPr>
        <w:tabs>
          <w:tab w:val="left" w:pos="1620"/>
        </w:tabs>
        <w:spacing w:line="360" w:lineRule="auto"/>
        <w:ind w:firstLine="550"/>
        <w:outlineLvl w:val="0"/>
        <w:rPr>
          <w:rFonts w:hint="eastAsia" w:ascii="黑体" w:hAnsi="宋体" w:eastAsia="黑体"/>
          <w:color w:val="auto"/>
          <w:sz w:val="28"/>
        </w:rPr>
      </w:pPr>
      <w:r>
        <w:rPr>
          <w:rFonts w:hint="eastAsia" w:ascii="黑体" w:hAnsi="宋体" w:eastAsia="黑体"/>
          <w:color w:val="auto"/>
          <w:sz w:val="28"/>
        </w:rPr>
        <w:t>本规程参加起草人：</w:t>
      </w:r>
    </w:p>
    <w:p>
      <w:pPr>
        <w:tabs>
          <w:tab w:val="left" w:pos="1620"/>
        </w:tabs>
        <w:spacing w:line="360" w:lineRule="auto"/>
        <w:ind w:firstLine="1680" w:firstLineChars="600"/>
        <w:outlineLvl w:val="0"/>
        <w:rPr>
          <w:rFonts w:hint="eastAsia" w:ascii="宋体" w:hAnsi="宋体"/>
          <w:color w:val="auto"/>
          <w:sz w:val="28"/>
        </w:rPr>
      </w:pPr>
      <w:r>
        <w:rPr>
          <w:rFonts w:hint="eastAsia" w:ascii="宋体" w:hAnsi="宋体"/>
          <w:color w:val="auto"/>
          <w:sz w:val="28"/>
        </w:rPr>
        <w:t xml:space="preserve">周  艳       </w:t>
      </w:r>
      <w:r>
        <w:rPr>
          <w:rFonts w:hint="eastAsia"/>
          <w:color w:val="auto"/>
          <w:sz w:val="28"/>
        </w:rPr>
        <w:t>湖南省计量检测研究院</w:t>
      </w:r>
    </w:p>
    <w:p>
      <w:pPr>
        <w:tabs>
          <w:tab w:val="left" w:pos="1620"/>
        </w:tabs>
        <w:spacing w:line="360" w:lineRule="auto"/>
        <w:ind w:firstLine="1680" w:firstLineChars="600"/>
        <w:outlineLvl w:val="0"/>
        <w:rPr>
          <w:rFonts w:hint="eastAsia" w:ascii="宋体" w:hAnsi="宋体"/>
          <w:color w:val="auto"/>
          <w:sz w:val="28"/>
        </w:rPr>
      </w:pPr>
      <w:r>
        <w:rPr>
          <w:rFonts w:hint="eastAsia" w:ascii="宋体" w:hAnsi="宋体"/>
          <w:color w:val="auto"/>
          <w:sz w:val="28"/>
        </w:rPr>
        <w:t>徐友兵</w:t>
      </w:r>
      <w:r>
        <w:rPr>
          <w:rFonts w:hint="eastAsia" w:ascii="宋体" w:hAnsi="宋体"/>
          <w:color w:val="auto"/>
          <w:sz w:val="28"/>
        </w:rPr>
        <w:tab/>
      </w:r>
      <w:r>
        <w:rPr>
          <w:rFonts w:hint="eastAsia" w:ascii="宋体" w:hAnsi="宋体"/>
          <w:color w:val="auto"/>
          <w:sz w:val="28"/>
        </w:rPr>
        <w:t xml:space="preserve">    湖南银通科技有限责任公司</w:t>
      </w:r>
    </w:p>
    <w:p>
      <w:pPr>
        <w:tabs>
          <w:tab w:val="left" w:pos="1620"/>
        </w:tabs>
        <w:spacing w:line="360" w:lineRule="auto"/>
        <w:ind w:firstLine="1680" w:firstLineChars="600"/>
        <w:outlineLvl w:val="0"/>
        <w:rPr>
          <w:rFonts w:hint="eastAsia" w:ascii="宋体" w:hAnsi="宋体"/>
          <w:color w:val="auto"/>
          <w:sz w:val="28"/>
        </w:rPr>
      </w:pPr>
      <w:r>
        <w:rPr>
          <w:rFonts w:hint="eastAsia" w:ascii="宋体" w:hAnsi="宋体"/>
          <w:color w:val="auto"/>
          <w:sz w:val="28"/>
        </w:rPr>
        <w:t>刘  萌</w:t>
      </w:r>
      <w:r>
        <w:rPr>
          <w:rFonts w:hint="eastAsia" w:ascii="宋体" w:hAnsi="宋体"/>
          <w:color w:val="auto"/>
          <w:sz w:val="28"/>
        </w:rPr>
        <w:tab/>
      </w:r>
      <w:r>
        <w:rPr>
          <w:rFonts w:hint="eastAsia" w:ascii="宋体" w:hAnsi="宋体"/>
          <w:color w:val="auto"/>
          <w:sz w:val="28"/>
        </w:rPr>
        <w:t xml:space="preserve">    长沙新奥燃气有限公司</w:t>
      </w:r>
    </w:p>
    <w:p>
      <w:pPr>
        <w:tabs>
          <w:tab w:val="left" w:pos="1620"/>
        </w:tabs>
        <w:spacing w:line="360" w:lineRule="auto"/>
        <w:ind w:firstLine="1680" w:firstLineChars="600"/>
        <w:outlineLvl w:val="0"/>
        <w:rPr>
          <w:rFonts w:hint="eastAsia" w:ascii="宋体" w:hAnsi="宋体"/>
          <w:color w:val="auto"/>
          <w:sz w:val="28"/>
        </w:rPr>
      </w:pPr>
      <w:r>
        <w:rPr>
          <w:rFonts w:hint="eastAsia" w:ascii="宋体" w:hAnsi="宋体"/>
          <w:color w:val="auto"/>
          <w:sz w:val="28"/>
        </w:rPr>
        <w:t>史健君</w:t>
      </w:r>
      <w:r>
        <w:rPr>
          <w:rFonts w:hint="eastAsia" w:ascii="宋体" w:hAnsi="宋体"/>
          <w:color w:val="auto"/>
          <w:sz w:val="28"/>
        </w:rPr>
        <w:tab/>
      </w:r>
      <w:r>
        <w:rPr>
          <w:rFonts w:hint="eastAsia" w:ascii="宋体" w:hAnsi="宋体"/>
          <w:color w:val="auto"/>
          <w:sz w:val="28"/>
        </w:rPr>
        <w:t xml:space="preserve">   </w:t>
      </w:r>
      <w:r>
        <w:rPr>
          <w:rFonts w:ascii="宋体" w:hAnsi="宋体"/>
          <w:color w:val="auto"/>
          <w:sz w:val="28"/>
        </w:rPr>
        <w:t xml:space="preserve"> </w:t>
      </w:r>
      <w:r>
        <w:rPr>
          <w:rFonts w:hint="eastAsia" w:ascii="宋体" w:hAnsi="宋体"/>
          <w:color w:val="auto"/>
          <w:sz w:val="28"/>
        </w:rPr>
        <w:t>辽宁思凯科技股份有限公司</w:t>
      </w:r>
    </w:p>
    <w:p>
      <w:pPr>
        <w:tabs>
          <w:tab w:val="left" w:pos="1620"/>
        </w:tabs>
        <w:spacing w:line="360" w:lineRule="auto"/>
        <w:ind w:firstLine="1680" w:firstLineChars="600"/>
        <w:outlineLvl w:val="0"/>
        <w:rPr>
          <w:rFonts w:hint="eastAsia" w:ascii="宋体" w:hAnsi="宋体"/>
          <w:color w:val="auto"/>
          <w:sz w:val="28"/>
        </w:rPr>
      </w:pPr>
      <w:r>
        <w:rPr>
          <w:rFonts w:hint="eastAsia" w:ascii="宋体" w:hAnsi="宋体"/>
          <w:color w:val="auto"/>
          <w:sz w:val="28"/>
        </w:rPr>
        <w:t>方  炯</w:t>
      </w:r>
      <w:r>
        <w:rPr>
          <w:rFonts w:hint="eastAsia" w:ascii="宋体" w:hAnsi="宋体"/>
          <w:color w:val="auto"/>
          <w:sz w:val="28"/>
        </w:rPr>
        <w:tab/>
      </w:r>
      <w:r>
        <w:rPr>
          <w:rFonts w:ascii="宋体" w:hAnsi="宋体"/>
          <w:color w:val="auto"/>
          <w:sz w:val="28"/>
        </w:rPr>
        <w:t xml:space="preserve"> </w:t>
      </w:r>
      <w:r>
        <w:rPr>
          <w:rFonts w:hint="eastAsia" w:ascii="宋体" w:hAnsi="宋体"/>
          <w:color w:val="auto"/>
          <w:sz w:val="28"/>
        </w:rPr>
        <w:t xml:space="preserve">   浙江威星智能仪表股份有限公司</w:t>
      </w:r>
    </w:p>
    <w:p>
      <w:pPr>
        <w:tabs>
          <w:tab w:val="left" w:pos="1620"/>
        </w:tabs>
        <w:spacing w:line="360" w:lineRule="auto"/>
        <w:outlineLvl w:val="0"/>
        <w:rPr>
          <w:rFonts w:hint="eastAsia" w:ascii="黑体" w:hAnsi="宋体" w:eastAsia="黑体"/>
          <w:color w:val="auto"/>
          <w:sz w:val="28"/>
        </w:rPr>
      </w:pPr>
      <w:r>
        <w:rPr>
          <w:rFonts w:hint="eastAsia" w:ascii="黑体" w:hAnsi="宋体" w:eastAsia="黑体"/>
          <w:color w:val="auto"/>
          <w:sz w:val="28"/>
        </w:rPr>
        <w:t xml:space="preserve">            </w:t>
      </w:r>
      <w:r>
        <w:rPr>
          <w:rFonts w:hint="eastAsia" w:ascii="宋体" w:hAnsi="宋体"/>
          <w:color w:val="auto"/>
          <w:sz w:val="28"/>
        </w:rPr>
        <w:t xml:space="preserve">徐旷宇       </w:t>
      </w:r>
      <w:r>
        <w:rPr>
          <w:rFonts w:hint="eastAsia"/>
          <w:color w:val="auto"/>
          <w:sz w:val="28"/>
        </w:rPr>
        <w:t>湖南省计量检测研究院</w:t>
      </w:r>
    </w:p>
    <w:p>
      <w:pPr>
        <w:tabs>
          <w:tab w:val="left" w:pos="1620"/>
        </w:tabs>
        <w:spacing w:line="360" w:lineRule="auto"/>
        <w:outlineLvl w:val="0"/>
        <w:rPr>
          <w:rFonts w:hint="eastAsia" w:ascii="黑体" w:hAnsi="宋体" w:eastAsia="黑体"/>
          <w:color w:val="auto"/>
          <w:sz w:val="28"/>
        </w:rPr>
      </w:pPr>
    </w:p>
    <w:p>
      <w:pPr>
        <w:rPr>
          <w:rFonts w:ascii="黑体" w:hAnsi="宋体" w:eastAsia="黑体"/>
          <w:color w:val="auto"/>
          <w:sz w:val="28"/>
        </w:rPr>
      </w:pPr>
    </w:p>
    <w:p>
      <w:pPr>
        <w:rPr>
          <w:rFonts w:ascii="黑体" w:hAnsi="宋体" w:eastAsia="黑体"/>
          <w:color w:val="auto"/>
          <w:sz w:val="28"/>
        </w:rPr>
      </w:pPr>
    </w:p>
    <w:p>
      <w:pPr>
        <w:rPr>
          <w:rFonts w:ascii="黑体" w:hAnsi="宋体" w:eastAsia="黑体"/>
          <w:color w:val="auto"/>
          <w:sz w:val="28"/>
        </w:rPr>
        <w:sectPr>
          <w:footerReference r:id="rId12" w:type="first"/>
          <w:footerReference r:id="rId10" w:type="default"/>
          <w:footerReference r:id="rId11" w:type="even"/>
          <w:pgSz w:w="11906" w:h="16838"/>
          <w:pgMar w:top="1440" w:right="1418" w:bottom="1440" w:left="1418" w:header="851" w:footer="992" w:gutter="0"/>
          <w:pgNumType w:fmt="upperRoman" w:start="1"/>
          <w:cols w:space="720" w:num="1"/>
          <w:titlePg/>
          <w:docGrid w:type="lines" w:linePitch="312" w:charSpace="0"/>
        </w:sectPr>
      </w:pPr>
    </w:p>
    <w:p>
      <w:pPr>
        <w:pStyle w:val="26"/>
        <w:pageBreakBefore/>
        <w:rPr>
          <w:rFonts w:hint="eastAsia"/>
          <w:color w:val="auto"/>
        </w:rPr>
      </w:pPr>
      <w:bookmarkStart w:id="4" w:name="_Toc429647946"/>
      <w:bookmarkStart w:id="5" w:name="_Toc288663649"/>
      <w:bookmarkStart w:id="6" w:name="_Toc286935553"/>
      <w:bookmarkStart w:id="7" w:name="_Toc331519095"/>
      <w:bookmarkStart w:id="8" w:name="_Toc271893447"/>
      <w:bookmarkStart w:id="9" w:name="_Toc429659131"/>
      <w:bookmarkStart w:id="10" w:name="_Toc287295398"/>
      <w:bookmarkStart w:id="11" w:name="_Toc327386618"/>
      <w:bookmarkStart w:id="12" w:name="_Toc390175160"/>
      <w:bookmarkStart w:id="13" w:name="_Toc390243958"/>
      <w:bookmarkStart w:id="14" w:name="_Toc301899236"/>
      <w:bookmarkStart w:id="15" w:name="_Toc271966715"/>
      <w:bookmarkStart w:id="16" w:name="_Toc406054815"/>
      <w:bookmarkStart w:id="17" w:name="_Toc390174543"/>
      <w:bookmarkStart w:id="18" w:name="_Toc288067446"/>
      <w:bookmarkStart w:id="19" w:name="_Toc292440416"/>
      <w:bookmarkStart w:id="20" w:name="_Toc331532064"/>
      <w:bookmarkStart w:id="21" w:name="_Toc428953471"/>
      <w:bookmarkStart w:id="22" w:name="_Toc286329634"/>
      <w:bookmarkStart w:id="23" w:name="_Toc329514448"/>
      <w:bookmarkStart w:id="24" w:name="_Toc434487642"/>
      <w:bookmarkStart w:id="25" w:name="_Toc327210199"/>
      <w:bookmarkStart w:id="26" w:name="_Toc468349701"/>
      <w:r>
        <w:rPr>
          <w:rFonts w:hint="eastAsia"/>
          <w:color w:val="auto"/>
        </w:rPr>
        <w:t>目    录</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13"/>
        <w:tabs>
          <w:tab w:val="right" w:leader="dot" w:pos="9060"/>
        </w:tabs>
        <w:rPr>
          <w:rFonts w:ascii="Calibri"/>
          <w:color w:val="auto"/>
          <w:kern w:val="2"/>
          <w:szCs w:val="22"/>
        </w:rPr>
      </w:pPr>
      <w:r>
        <w:rPr>
          <w:rFonts w:ascii="Calibri"/>
          <w:color w:val="auto"/>
          <w:kern w:val="2"/>
          <w:szCs w:val="22"/>
        </w:rPr>
        <w:fldChar w:fldCharType="begin"/>
      </w:r>
      <w:r>
        <w:rPr>
          <w:rFonts w:ascii="Calibri"/>
          <w:color w:val="auto"/>
          <w:kern w:val="2"/>
          <w:szCs w:val="22"/>
        </w:rPr>
        <w:instrText xml:space="preserve"> TOC \o "3-3" \f \h \z \t "标题 1,1,标题 2,2,标题 8,8,标题 9,9,标题,1,前言、引言标题,1,参考文献、索引标题,3,章标题,4,附录标识,2,附录章标题,1,目次、标准名称标题,1" </w:instrText>
      </w:r>
      <w:r>
        <w:rPr>
          <w:rFonts w:ascii="Calibri"/>
          <w:color w:val="auto"/>
          <w:kern w:val="2"/>
          <w:szCs w:val="22"/>
        </w:rPr>
        <w:fldChar w:fldCharType="separate"/>
      </w:r>
      <w:r>
        <w:rPr>
          <w:rFonts w:ascii="Calibri"/>
          <w:color w:val="auto"/>
        </w:rPr>
        <w:fldChar w:fldCharType="begin"/>
      </w:r>
      <w:r>
        <w:rPr>
          <w:rStyle w:val="21"/>
          <w:rFonts w:ascii="Calibri"/>
          <w:color w:val="auto"/>
        </w:rPr>
        <w:instrText xml:space="preserve"> </w:instrText>
      </w:r>
      <w:r>
        <w:rPr>
          <w:rFonts w:ascii="Calibri"/>
          <w:color w:val="auto"/>
        </w:rPr>
        <w:instrText xml:space="preserve">HYPERLINK \l "_Toc468349701"</w:instrText>
      </w:r>
      <w:r>
        <w:rPr>
          <w:rStyle w:val="21"/>
          <w:rFonts w:ascii="Calibri"/>
          <w:color w:val="auto"/>
        </w:rPr>
        <w:instrText xml:space="preserve"> </w:instrText>
      </w:r>
      <w:r>
        <w:rPr>
          <w:rFonts w:ascii="Calibri"/>
          <w:color w:val="auto"/>
        </w:rPr>
        <w:fldChar w:fldCharType="separate"/>
      </w:r>
      <w:r>
        <w:rPr>
          <w:rStyle w:val="21"/>
          <w:rFonts w:hint="eastAsia" w:ascii="Calibri"/>
          <w:color w:val="auto"/>
        </w:rPr>
        <w:t>目</w:t>
      </w:r>
      <w:r>
        <w:rPr>
          <w:rStyle w:val="21"/>
          <w:rFonts w:ascii="Calibri"/>
          <w:color w:val="auto"/>
        </w:rPr>
        <w:t xml:space="preserve">    </w:t>
      </w:r>
      <w:r>
        <w:rPr>
          <w:rStyle w:val="21"/>
          <w:rFonts w:hint="eastAsia" w:ascii="Calibri"/>
          <w:color w:val="auto"/>
        </w:rPr>
        <w:t>录</w:t>
      </w:r>
      <w:r>
        <w:rPr>
          <w:rFonts w:ascii="Calibri"/>
          <w:color w:val="auto"/>
        </w:rPr>
        <w:tab/>
      </w:r>
      <w:r>
        <w:rPr>
          <w:rFonts w:ascii="Calibri"/>
          <w:color w:val="auto"/>
        </w:rPr>
        <w:fldChar w:fldCharType="begin"/>
      </w:r>
      <w:r>
        <w:rPr>
          <w:rFonts w:ascii="Calibri"/>
          <w:color w:val="auto"/>
        </w:rPr>
        <w:instrText xml:space="preserve"> PAGEREF _Toc468349701 \h </w:instrText>
      </w:r>
      <w:r>
        <w:rPr>
          <w:rFonts w:ascii="Calibri"/>
          <w:color w:val="auto"/>
        </w:rPr>
        <w:fldChar w:fldCharType="separate"/>
      </w:r>
      <w:r>
        <w:rPr>
          <w:rFonts w:ascii="Calibri"/>
          <w:color w:val="auto"/>
        </w:rPr>
        <w:t>I</w:t>
      </w:r>
      <w:r>
        <w:rPr>
          <w:rFonts w:ascii="Calibri"/>
          <w:color w:val="auto"/>
        </w:rPr>
        <w:fldChar w:fldCharType="end"/>
      </w:r>
      <w:r>
        <w:rPr>
          <w:rFonts w:ascii="Calibri"/>
          <w:color w:val="auto"/>
        </w:rPr>
        <w:fldChar w:fldCharType="end"/>
      </w:r>
    </w:p>
    <w:p>
      <w:pPr>
        <w:pStyle w:val="14"/>
        <w:tabs>
          <w:tab w:val="right" w:leader="dot" w:pos="9060"/>
        </w:tabs>
        <w:ind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"_Toc468349702"</w:instrText>
      </w:r>
      <w:r>
        <w:rPr>
          <w:rStyle w:val="21"/>
          <w:rFonts w:ascii="Calibri"/>
          <w:color w:val="auto"/>
        </w:rPr>
        <w:instrText xml:space="preserve"> </w:instrText>
      </w:r>
      <w:r>
        <w:rPr>
          <w:color w:val="auto"/>
        </w:rPr>
        <w:fldChar w:fldCharType="separate"/>
      </w:r>
      <w:r>
        <w:rPr>
          <w:rStyle w:val="21"/>
          <w:rFonts w:hint="eastAsia" w:ascii="Calibri" w:hAnsi="宋体"/>
          <w:color w:val="auto"/>
          <w:kern w:val="0"/>
        </w:rPr>
        <w:t>引</w:t>
      </w:r>
      <w:r>
        <w:rPr>
          <w:rStyle w:val="21"/>
          <w:rFonts w:ascii="Calibri" w:hAnsi="宋体"/>
          <w:color w:val="auto"/>
          <w:kern w:val="0"/>
        </w:rPr>
        <w:t xml:space="preserve">  </w:t>
      </w:r>
      <w:r>
        <w:rPr>
          <w:rStyle w:val="21"/>
          <w:rFonts w:hint="eastAsia" w:ascii="Calibri" w:hAnsi="宋体"/>
          <w:color w:val="auto"/>
          <w:kern w:val="0"/>
        </w:rPr>
        <w:t>言</w:t>
      </w:r>
      <w:r>
        <w:rPr>
          <w:color w:val="auto"/>
        </w:rPr>
        <w:tab/>
      </w:r>
      <w:r>
        <w:rPr>
          <w:color w:val="auto"/>
        </w:rPr>
        <w:fldChar w:fldCharType="begin"/>
      </w:r>
      <w:r>
        <w:rPr>
          <w:color w:val="auto"/>
        </w:rPr>
        <w:instrText xml:space="preserve"> PAGEREF _Toc468349702 \h </w:instrText>
      </w:r>
      <w:r>
        <w:rPr>
          <w:color w:val="auto"/>
        </w:rPr>
        <w:fldChar w:fldCharType="separate"/>
      </w:r>
      <w:r>
        <w:rPr>
          <w:color w:val="auto"/>
        </w:rPr>
        <w:t>II</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"_Toc468349703"</w:instrText>
      </w:r>
      <w:r>
        <w:rPr>
          <w:rStyle w:val="21"/>
          <w:rFonts w:ascii="Calibri"/>
          <w:color w:val="auto"/>
        </w:rPr>
        <w:instrText xml:space="preserve"> </w:instrText>
      </w:r>
      <w:r>
        <w:rPr>
          <w:color w:val="auto"/>
        </w:rPr>
        <w:fldChar w:fldCharType="separate"/>
      </w:r>
      <w:r>
        <w:rPr>
          <w:rStyle w:val="21"/>
          <w:rFonts w:ascii="Calibri" w:eastAsia="黑体"/>
          <w:color w:val="auto"/>
        </w:rPr>
        <w:t xml:space="preserve">1 </w:t>
      </w:r>
      <w:r>
        <w:rPr>
          <w:rStyle w:val="21"/>
          <w:rFonts w:hint="eastAsia" w:ascii="Calibri" w:hAnsi="宋体"/>
          <w:color w:val="auto"/>
        </w:rPr>
        <w:t>范围</w:t>
      </w:r>
      <w:r>
        <w:rPr>
          <w:color w:val="auto"/>
        </w:rPr>
        <w:tab/>
      </w:r>
      <w:r>
        <w:rPr>
          <w:color w:val="auto"/>
        </w:rPr>
        <w:fldChar w:fldCharType="begin"/>
      </w:r>
      <w:r>
        <w:rPr>
          <w:color w:val="auto"/>
        </w:rPr>
        <w:instrText xml:space="preserve"> PAGEREF _Toc468349703 \h </w:instrText>
      </w:r>
      <w:r>
        <w:rPr>
          <w:color w:val="auto"/>
        </w:rPr>
        <w:fldChar w:fldCharType="separate"/>
      </w:r>
      <w:r>
        <w:rPr>
          <w:color w:val="auto"/>
        </w:rPr>
        <w:t>1</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"_Toc468349704"</w:instrText>
      </w:r>
      <w:r>
        <w:rPr>
          <w:rStyle w:val="21"/>
          <w:rFonts w:ascii="Calibri"/>
          <w:color w:val="auto"/>
        </w:rPr>
        <w:instrText xml:space="preserve"> </w:instrText>
      </w:r>
      <w:r>
        <w:rPr>
          <w:color w:val="auto"/>
        </w:rPr>
        <w:fldChar w:fldCharType="separate"/>
      </w:r>
      <w:r>
        <w:rPr>
          <w:rStyle w:val="21"/>
          <w:rFonts w:ascii="Calibri"/>
          <w:color w:val="auto"/>
        </w:rPr>
        <w:t xml:space="preserve">2 </w:t>
      </w:r>
      <w:r>
        <w:rPr>
          <w:rStyle w:val="21"/>
          <w:rFonts w:hint="eastAsia" w:ascii="Calibri" w:hAnsi="宋体"/>
          <w:color w:val="auto"/>
        </w:rPr>
        <w:t>引用文件</w:t>
      </w:r>
      <w:r>
        <w:rPr>
          <w:color w:val="auto"/>
        </w:rPr>
        <w:tab/>
      </w:r>
      <w:r>
        <w:rPr>
          <w:color w:val="auto"/>
        </w:rPr>
        <w:fldChar w:fldCharType="begin"/>
      </w:r>
      <w:r>
        <w:rPr>
          <w:color w:val="auto"/>
        </w:rPr>
        <w:instrText xml:space="preserve"> PAGEREF _Toc468349704 \h </w:instrText>
      </w:r>
      <w:r>
        <w:rPr>
          <w:color w:val="auto"/>
        </w:rPr>
        <w:fldChar w:fldCharType="separate"/>
      </w:r>
      <w:r>
        <w:rPr>
          <w:color w:val="auto"/>
        </w:rPr>
        <w:t>1</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"_Toc468349705"</w:instrText>
      </w:r>
      <w:r>
        <w:rPr>
          <w:rStyle w:val="21"/>
          <w:rFonts w:ascii="Calibri"/>
          <w:color w:val="auto"/>
        </w:rPr>
        <w:instrText xml:space="preserve"> </w:instrText>
      </w:r>
      <w:r>
        <w:rPr>
          <w:color w:val="auto"/>
        </w:rPr>
        <w:fldChar w:fldCharType="separate"/>
      </w:r>
      <w:r>
        <w:rPr>
          <w:rStyle w:val="21"/>
          <w:rFonts w:ascii="Calibri"/>
          <w:color w:val="auto"/>
        </w:rPr>
        <w:t xml:space="preserve">3 </w:t>
      </w:r>
      <w:r>
        <w:rPr>
          <w:rStyle w:val="21"/>
          <w:rFonts w:hint="eastAsia" w:ascii="Calibri" w:hAnsi="宋体"/>
          <w:color w:val="auto"/>
        </w:rPr>
        <w:t>术语和计量单位</w:t>
      </w:r>
      <w:r>
        <w:rPr>
          <w:color w:val="auto"/>
        </w:rPr>
        <w:tab/>
      </w:r>
      <w:r>
        <w:rPr>
          <w:color w:val="auto"/>
        </w:rPr>
        <w:fldChar w:fldCharType="begin"/>
      </w:r>
      <w:r>
        <w:rPr>
          <w:color w:val="auto"/>
        </w:rPr>
        <w:instrText xml:space="preserve"> PAGEREF _Toc468349705 \h </w:instrText>
      </w:r>
      <w:r>
        <w:rPr>
          <w:color w:val="auto"/>
        </w:rPr>
        <w:fldChar w:fldCharType="separate"/>
      </w:r>
      <w:r>
        <w:rPr>
          <w:color w:val="auto"/>
        </w:rPr>
        <w:t>1</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"_Toc468349706"</w:instrText>
      </w:r>
      <w:r>
        <w:rPr>
          <w:rStyle w:val="21"/>
          <w:rFonts w:ascii="Calibri"/>
          <w:color w:val="auto"/>
        </w:rPr>
        <w:instrText xml:space="preserve"> </w:instrText>
      </w:r>
      <w:r>
        <w:rPr>
          <w:color w:val="auto"/>
        </w:rPr>
        <w:fldChar w:fldCharType="separate"/>
      </w:r>
      <w:r>
        <w:rPr>
          <w:rStyle w:val="21"/>
          <w:rFonts w:ascii="Calibri"/>
          <w:color w:val="auto"/>
        </w:rPr>
        <w:t xml:space="preserve">4 </w:t>
      </w:r>
      <w:r>
        <w:rPr>
          <w:rStyle w:val="21"/>
          <w:rFonts w:hint="eastAsia" w:ascii="Calibri" w:hAnsi="宋体"/>
          <w:color w:val="auto"/>
        </w:rPr>
        <w:t>概述</w:t>
      </w:r>
      <w:r>
        <w:rPr>
          <w:color w:val="auto"/>
        </w:rPr>
        <w:tab/>
      </w:r>
      <w:r>
        <w:rPr>
          <w:color w:val="auto"/>
        </w:rPr>
        <w:fldChar w:fldCharType="begin"/>
      </w:r>
      <w:r>
        <w:rPr>
          <w:color w:val="auto"/>
        </w:rPr>
        <w:instrText xml:space="preserve"> PAGEREF _Toc468349706 \h </w:instrText>
      </w:r>
      <w:r>
        <w:rPr>
          <w:color w:val="auto"/>
        </w:rPr>
        <w:fldChar w:fldCharType="separate"/>
      </w:r>
      <w:r>
        <w:rPr>
          <w:color w:val="auto"/>
        </w:rPr>
        <w:t>2</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"_Toc468349707"</w:instrText>
      </w:r>
      <w:r>
        <w:rPr>
          <w:rStyle w:val="21"/>
          <w:rFonts w:ascii="Calibri"/>
          <w:color w:val="auto"/>
        </w:rPr>
        <w:instrText xml:space="preserve"> </w:instrText>
      </w:r>
      <w:r>
        <w:rPr>
          <w:color w:val="auto"/>
        </w:rPr>
        <w:fldChar w:fldCharType="separate"/>
      </w:r>
      <w:r>
        <w:rPr>
          <w:rStyle w:val="21"/>
          <w:rFonts w:ascii="Calibri"/>
          <w:color w:val="auto"/>
        </w:rPr>
        <w:t xml:space="preserve">5 </w:t>
      </w:r>
      <w:r>
        <w:rPr>
          <w:rStyle w:val="21"/>
          <w:rFonts w:hint="eastAsia" w:ascii="Calibri" w:hAnsi="宋体"/>
          <w:color w:val="auto"/>
        </w:rPr>
        <w:t>计量性能要求</w:t>
      </w:r>
      <w:r>
        <w:rPr>
          <w:color w:val="auto"/>
        </w:rPr>
        <w:tab/>
      </w:r>
      <w:r>
        <w:rPr>
          <w:color w:val="auto"/>
        </w:rPr>
        <w:fldChar w:fldCharType="begin"/>
      </w:r>
      <w:r>
        <w:rPr>
          <w:color w:val="auto"/>
        </w:rPr>
        <w:instrText xml:space="preserve"> PAGEREF _Toc468349707 \h </w:instrText>
      </w:r>
      <w:r>
        <w:rPr>
          <w:color w:val="auto"/>
        </w:rPr>
        <w:fldChar w:fldCharType="separate"/>
      </w:r>
      <w:r>
        <w:rPr>
          <w:color w:val="auto"/>
        </w:rPr>
        <w:t>4</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"_Toc468349708"</w:instrText>
      </w:r>
      <w:r>
        <w:rPr>
          <w:rStyle w:val="21"/>
          <w:rFonts w:ascii="Calibri"/>
          <w:color w:val="auto"/>
        </w:rPr>
        <w:instrText xml:space="preserve"> </w:instrText>
      </w:r>
      <w:r>
        <w:rPr>
          <w:color w:val="auto"/>
        </w:rPr>
        <w:fldChar w:fldCharType="separate"/>
      </w:r>
      <w:r>
        <w:rPr>
          <w:rStyle w:val="21"/>
          <w:rFonts w:ascii="Calibri"/>
          <w:color w:val="auto"/>
        </w:rPr>
        <w:t xml:space="preserve">6 </w:t>
      </w:r>
      <w:r>
        <w:rPr>
          <w:rStyle w:val="21"/>
          <w:rFonts w:hint="eastAsia" w:ascii="Calibri" w:hAnsi="宋体"/>
          <w:color w:val="auto"/>
        </w:rPr>
        <w:t>通用技术要求</w:t>
      </w:r>
      <w:r>
        <w:rPr>
          <w:color w:val="auto"/>
        </w:rPr>
        <w:tab/>
      </w:r>
      <w:r>
        <w:rPr>
          <w:color w:val="auto"/>
        </w:rPr>
        <w:fldChar w:fldCharType="begin"/>
      </w:r>
      <w:r>
        <w:rPr>
          <w:color w:val="auto"/>
        </w:rPr>
        <w:instrText xml:space="preserve"> PAGEREF _Toc468349708 \h </w:instrText>
      </w:r>
      <w:r>
        <w:rPr>
          <w:color w:val="auto"/>
        </w:rPr>
        <w:fldChar w:fldCharType="separate"/>
      </w:r>
      <w:r>
        <w:rPr>
          <w:color w:val="auto"/>
        </w:rPr>
        <w:t>5</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"_Toc468349709"</w:instrText>
      </w:r>
      <w:r>
        <w:rPr>
          <w:rStyle w:val="21"/>
          <w:rFonts w:ascii="Calibri"/>
          <w:color w:val="auto"/>
        </w:rPr>
        <w:instrText xml:space="preserve"> </w:instrText>
      </w:r>
      <w:r>
        <w:rPr>
          <w:color w:val="auto"/>
        </w:rPr>
        <w:fldChar w:fldCharType="separate"/>
      </w:r>
      <w:r>
        <w:rPr>
          <w:rStyle w:val="21"/>
          <w:rFonts w:ascii="Calibri"/>
          <w:color w:val="auto"/>
          <w:kern w:val="0"/>
        </w:rPr>
        <w:t>6.1</w:t>
      </w:r>
      <w:r>
        <w:rPr>
          <w:rStyle w:val="21"/>
          <w:rFonts w:hint="eastAsia" w:ascii="Calibri" w:hAnsi="宋体"/>
          <w:color w:val="auto"/>
        </w:rPr>
        <w:t xml:space="preserve"> 铭牌和标记</w:t>
      </w:r>
      <w:r>
        <w:rPr>
          <w:color w:val="auto"/>
        </w:rPr>
        <w:tab/>
      </w:r>
      <w:r>
        <w:rPr>
          <w:color w:val="auto"/>
        </w:rPr>
        <w:fldChar w:fldCharType="begin"/>
      </w:r>
      <w:r>
        <w:rPr>
          <w:color w:val="auto"/>
        </w:rPr>
        <w:instrText xml:space="preserve"> PAGEREF _Toc468349709 \h </w:instrText>
      </w:r>
      <w:r>
        <w:rPr>
          <w:color w:val="auto"/>
        </w:rPr>
        <w:fldChar w:fldCharType="separate"/>
      </w:r>
      <w:r>
        <w:rPr>
          <w:color w:val="auto"/>
        </w:rPr>
        <w:t>5</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"_Toc468349710"</w:instrText>
      </w:r>
      <w:r>
        <w:rPr>
          <w:rStyle w:val="21"/>
          <w:rFonts w:ascii="Calibri"/>
          <w:color w:val="auto"/>
        </w:rPr>
        <w:instrText xml:space="preserve"> </w:instrText>
      </w:r>
      <w:r>
        <w:rPr>
          <w:color w:val="auto"/>
        </w:rPr>
        <w:fldChar w:fldCharType="separate"/>
      </w:r>
      <w:r>
        <w:rPr>
          <w:rStyle w:val="21"/>
          <w:rFonts w:ascii="Calibri"/>
          <w:color w:val="auto"/>
          <w:kern w:val="0"/>
        </w:rPr>
        <w:t>6.2</w:t>
      </w:r>
      <w:r>
        <w:rPr>
          <w:rStyle w:val="21"/>
          <w:rFonts w:hint="eastAsia" w:ascii="Calibri" w:hAnsi="宋体"/>
          <w:color w:val="auto"/>
        </w:rPr>
        <w:t xml:space="preserve"> 外观</w:t>
      </w:r>
      <w:r>
        <w:rPr>
          <w:color w:val="auto"/>
        </w:rPr>
        <w:tab/>
      </w:r>
      <w:r>
        <w:rPr>
          <w:color w:val="auto"/>
        </w:rPr>
        <w:fldChar w:fldCharType="begin"/>
      </w:r>
      <w:r>
        <w:rPr>
          <w:color w:val="auto"/>
        </w:rPr>
        <w:instrText xml:space="preserve"> PAGEREF _Toc468349710 \h </w:instrText>
      </w:r>
      <w:r>
        <w:rPr>
          <w:color w:val="auto"/>
        </w:rPr>
        <w:fldChar w:fldCharType="separate"/>
      </w:r>
      <w:r>
        <w:rPr>
          <w:color w:val="auto"/>
        </w:rPr>
        <w:t>5</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"_Toc468349711"</w:instrText>
      </w:r>
      <w:r>
        <w:rPr>
          <w:rStyle w:val="21"/>
          <w:rFonts w:ascii="Calibri"/>
          <w:color w:val="auto"/>
        </w:rPr>
        <w:instrText xml:space="preserve"> </w:instrText>
      </w:r>
      <w:r>
        <w:rPr>
          <w:color w:val="auto"/>
        </w:rPr>
        <w:fldChar w:fldCharType="separate"/>
      </w:r>
      <w:r>
        <w:rPr>
          <w:rStyle w:val="21"/>
          <w:rFonts w:ascii="Calibri"/>
          <w:color w:val="auto"/>
          <w:kern w:val="0"/>
        </w:rPr>
        <w:t>6.3</w:t>
      </w:r>
      <w:r>
        <w:rPr>
          <w:rStyle w:val="21"/>
          <w:rFonts w:hint="eastAsia" w:ascii="Calibri" w:hAnsi="宋体"/>
          <w:color w:val="auto"/>
        </w:rPr>
        <w:t xml:space="preserve"> 封印</w:t>
      </w:r>
      <w:r>
        <w:rPr>
          <w:color w:val="auto"/>
        </w:rPr>
        <w:tab/>
      </w:r>
      <w:r>
        <w:rPr>
          <w:color w:val="auto"/>
        </w:rPr>
        <w:fldChar w:fldCharType="begin"/>
      </w:r>
      <w:r>
        <w:rPr>
          <w:color w:val="auto"/>
        </w:rPr>
        <w:instrText xml:space="preserve"> PAGEREF _Toc468349711 \h </w:instrText>
      </w:r>
      <w:r>
        <w:rPr>
          <w:color w:val="auto"/>
        </w:rPr>
        <w:fldChar w:fldCharType="separate"/>
      </w:r>
      <w:r>
        <w:rPr>
          <w:color w:val="auto"/>
        </w:rPr>
        <w:t>5</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"_Toc468349712"</w:instrText>
      </w:r>
      <w:r>
        <w:rPr>
          <w:rStyle w:val="21"/>
          <w:rFonts w:ascii="Calibri"/>
          <w:color w:val="auto"/>
        </w:rPr>
        <w:instrText xml:space="preserve"> </w:instrText>
      </w:r>
      <w:r>
        <w:rPr>
          <w:color w:val="auto"/>
        </w:rPr>
        <w:fldChar w:fldCharType="separate"/>
      </w:r>
      <w:r>
        <w:rPr>
          <w:rStyle w:val="21"/>
          <w:rFonts w:ascii="Calibri" w:hAnsi="宋体"/>
          <w:color w:val="auto"/>
        </w:rPr>
        <w:t>6.4</w:t>
      </w:r>
      <w:r>
        <w:rPr>
          <w:rStyle w:val="21"/>
          <w:rFonts w:hint="eastAsia" w:ascii="Calibri" w:hAnsi="宋体"/>
          <w:color w:val="auto"/>
        </w:rPr>
        <w:t xml:space="preserve"> 指示装置</w:t>
      </w:r>
      <w:r>
        <w:rPr>
          <w:color w:val="auto"/>
        </w:rPr>
        <w:tab/>
      </w:r>
      <w:r>
        <w:rPr>
          <w:color w:val="auto"/>
        </w:rPr>
        <w:fldChar w:fldCharType="begin"/>
      </w:r>
      <w:r>
        <w:rPr>
          <w:color w:val="auto"/>
        </w:rPr>
        <w:instrText xml:space="preserve"> PAGEREF _Toc468349712 \h </w:instrText>
      </w:r>
      <w:r>
        <w:rPr>
          <w:color w:val="auto"/>
        </w:rPr>
        <w:fldChar w:fldCharType="separate"/>
      </w:r>
      <w:r>
        <w:rPr>
          <w:color w:val="auto"/>
        </w:rPr>
        <w:t>6</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"_Toc468349713"</w:instrText>
      </w:r>
      <w:r>
        <w:rPr>
          <w:rStyle w:val="21"/>
          <w:rFonts w:ascii="Calibri"/>
          <w:color w:val="auto"/>
        </w:rPr>
        <w:instrText xml:space="preserve"> </w:instrText>
      </w:r>
      <w:r>
        <w:rPr>
          <w:color w:val="auto"/>
        </w:rPr>
        <w:fldChar w:fldCharType="separate"/>
      </w:r>
      <w:r>
        <w:rPr>
          <w:rStyle w:val="21"/>
          <w:rFonts w:ascii="Calibri" w:hAnsi="宋体"/>
          <w:color w:val="auto"/>
        </w:rPr>
        <w:t>6.5</w:t>
      </w:r>
      <w:r>
        <w:rPr>
          <w:rStyle w:val="21"/>
          <w:rFonts w:hint="eastAsia" w:ascii="Calibri" w:hAnsi="宋体"/>
          <w:color w:val="auto"/>
        </w:rPr>
        <w:t xml:space="preserve"> 密封性</w:t>
      </w:r>
      <w:r>
        <w:rPr>
          <w:color w:val="auto"/>
        </w:rPr>
        <w:tab/>
      </w:r>
      <w:r>
        <w:rPr>
          <w:rFonts w:hint="eastAsia"/>
          <w:color w:val="auto"/>
        </w:rPr>
        <w:t>7</w:t>
      </w:r>
      <w:r>
        <w:rPr>
          <w:color w:val="auto"/>
        </w:rPr>
        <w:fldChar w:fldCharType="end"/>
      </w:r>
    </w:p>
    <w:p>
      <w:pPr>
        <w:pStyle w:val="9"/>
        <w:tabs>
          <w:tab w:val="right" w:leader="dot" w:pos="9060"/>
        </w:tabs>
        <w:ind w:left="420" w:leftChars="0" w:hanging="420" w:hangingChars="200"/>
        <w:rPr>
          <w:color w:val="auto"/>
        </w:rPr>
      </w:pPr>
      <w:r>
        <w:rPr>
          <w:color w:val="auto"/>
        </w:rPr>
        <w:fldChar w:fldCharType="begin"/>
      </w:r>
      <w:r>
        <w:rPr>
          <w:rStyle w:val="21"/>
          <w:rFonts w:ascii="Calibri"/>
          <w:color w:val="auto"/>
        </w:rPr>
        <w:instrText xml:space="preserve"> </w:instrText>
      </w:r>
      <w:r>
        <w:rPr>
          <w:color w:val="auto"/>
        </w:rPr>
        <w:instrText xml:space="preserve">HYPERLINK \l "_Toc468349714"</w:instrText>
      </w:r>
      <w:r>
        <w:rPr>
          <w:rStyle w:val="21"/>
          <w:rFonts w:ascii="Calibri"/>
          <w:color w:val="auto"/>
        </w:rPr>
        <w:instrText xml:space="preserve"> </w:instrText>
      </w:r>
      <w:r>
        <w:rPr>
          <w:color w:val="auto"/>
        </w:rPr>
        <w:fldChar w:fldCharType="separate"/>
      </w:r>
      <w:r>
        <w:rPr>
          <w:rStyle w:val="21"/>
          <w:rFonts w:ascii="Calibri" w:hAnsi="宋体"/>
          <w:color w:val="auto"/>
        </w:rPr>
        <w:t xml:space="preserve">6.6 </w:t>
      </w:r>
      <w:r>
        <w:rPr>
          <w:rStyle w:val="21"/>
          <w:rFonts w:hint="eastAsia" w:ascii="Calibri" w:hAnsi="宋体"/>
          <w:color w:val="auto"/>
        </w:rPr>
        <w:t>压力损失</w:t>
      </w:r>
      <w:r>
        <w:rPr>
          <w:color w:val="auto"/>
        </w:rPr>
        <w:tab/>
      </w:r>
      <w:r>
        <w:rPr>
          <w:rFonts w:hint="eastAsia"/>
          <w:color w:val="auto"/>
        </w:rPr>
        <w:t>7</w:t>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"_Toc468349714"</w:instrText>
      </w:r>
      <w:r>
        <w:rPr>
          <w:rStyle w:val="21"/>
          <w:rFonts w:ascii="Calibri"/>
          <w:color w:val="auto"/>
        </w:rPr>
        <w:instrText xml:space="preserve"> </w:instrText>
      </w:r>
      <w:r>
        <w:rPr>
          <w:color w:val="auto"/>
        </w:rPr>
        <w:fldChar w:fldCharType="separate"/>
      </w:r>
      <w:r>
        <w:rPr>
          <w:rStyle w:val="21"/>
          <w:rFonts w:ascii="Calibri" w:hAnsi="宋体"/>
          <w:color w:val="auto"/>
        </w:rPr>
        <w:t>6.</w:t>
      </w:r>
      <w:r>
        <w:rPr>
          <w:rStyle w:val="21"/>
          <w:rFonts w:hint="eastAsia" w:ascii="Calibri" w:hAnsi="宋体"/>
          <w:color w:val="auto"/>
        </w:rPr>
        <w:t>7</w:t>
      </w:r>
      <w:r>
        <w:rPr>
          <w:rStyle w:val="21"/>
          <w:rFonts w:ascii="Calibri" w:hAnsi="宋体"/>
          <w:color w:val="auto"/>
        </w:rPr>
        <w:t xml:space="preserve"> </w:t>
      </w:r>
      <w:r>
        <w:rPr>
          <w:rStyle w:val="21"/>
          <w:rFonts w:hint="eastAsia" w:ascii="Calibri" w:hAnsi="宋体"/>
          <w:color w:val="auto"/>
        </w:rPr>
        <w:t>提示功能</w:t>
      </w:r>
      <w:r>
        <w:rPr>
          <w:color w:val="auto"/>
        </w:rPr>
        <w:tab/>
      </w:r>
      <w:r>
        <w:rPr>
          <w:rFonts w:hint="eastAsia"/>
          <w:color w:val="auto"/>
        </w:rPr>
        <w:t>7</w:t>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"_Toc468349715"</w:instrText>
      </w:r>
      <w:r>
        <w:rPr>
          <w:rStyle w:val="21"/>
          <w:rFonts w:ascii="Calibri"/>
          <w:color w:val="auto"/>
        </w:rPr>
        <w:instrText xml:space="preserve"> </w:instrText>
      </w:r>
      <w:r>
        <w:rPr>
          <w:color w:val="auto"/>
        </w:rPr>
        <w:fldChar w:fldCharType="separate"/>
      </w:r>
      <w:r>
        <w:rPr>
          <w:rStyle w:val="21"/>
          <w:rFonts w:ascii="Calibri" w:hAnsi="宋体"/>
          <w:color w:val="auto"/>
        </w:rPr>
        <w:t>6.</w:t>
      </w:r>
      <w:r>
        <w:rPr>
          <w:rStyle w:val="21"/>
          <w:rFonts w:hint="eastAsia" w:ascii="Calibri" w:hAnsi="宋体"/>
          <w:color w:val="auto"/>
        </w:rPr>
        <w:t>8</w:t>
      </w:r>
      <w:r>
        <w:rPr>
          <w:rStyle w:val="21"/>
          <w:rFonts w:ascii="Calibri" w:hAnsi="宋体"/>
          <w:color w:val="auto"/>
        </w:rPr>
        <w:t xml:space="preserve"> </w:t>
      </w:r>
      <w:r>
        <w:rPr>
          <w:rStyle w:val="21"/>
          <w:rFonts w:hint="eastAsia" w:ascii="Calibri" w:hAnsi="宋体"/>
          <w:color w:val="auto"/>
        </w:rPr>
        <w:t>附加功能</w:t>
      </w:r>
      <w:r>
        <w:rPr>
          <w:color w:val="auto"/>
        </w:rPr>
        <w:tab/>
      </w:r>
      <w:r>
        <w:rPr>
          <w:rFonts w:hint="eastAsia"/>
          <w:color w:val="auto"/>
        </w:rPr>
        <w:t>8</w:t>
      </w:r>
      <w:r>
        <w:rPr>
          <w:color w:val="auto"/>
        </w:rPr>
        <w:fldChar w:fldCharType="end"/>
      </w:r>
    </w:p>
    <w:p>
      <w:pPr>
        <w:pStyle w:val="14"/>
        <w:tabs>
          <w:tab w:val="right" w:leader="dot" w:pos="9060"/>
        </w:tabs>
        <w:ind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"_Toc468349716"</w:instrText>
      </w:r>
      <w:r>
        <w:rPr>
          <w:rStyle w:val="21"/>
          <w:rFonts w:ascii="Calibri"/>
          <w:color w:val="auto"/>
        </w:rPr>
        <w:instrText xml:space="preserve"> </w:instrText>
      </w:r>
      <w:r>
        <w:rPr>
          <w:color w:val="auto"/>
        </w:rPr>
        <w:fldChar w:fldCharType="separate"/>
      </w:r>
      <w:r>
        <w:rPr>
          <w:rStyle w:val="21"/>
          <w:rFonts w:ascii="Calibri"/>
          <w:color w:val="auto"/>
        </w:rPr>
        <w:t xml:space="preserve">7 </w:t>
      </w:r>
      <w:r>
        <w:rPr>
          <w:rStyle w:val="21"/>
          <w:rFonts w:hint="eastAsia" w:ascii="Calibri" w:hAnsi="宋体"/>
          <w:color w:val="auto"/>
        </w:rPr>
        <w:t>计量器具控制</w:t>
      </w:r>
      <w:r>
        <w:rPr>
          <w:color w:val="auto"/>
        </w:rPr>
        <w:tab/>
      </w:r>
      <w:r>
        <w:rPr>
          <w:rFonts w:hint="eastAsia"/>
          <w:color w:val="auto"/>
        </w:rPr>
        <w:t>8</w:t>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"_Toc468349717"</w:instrText>
      </w:r>
      <w:r>
        <w:rPr>
          <w:rStyle w:val="21"/>
          <w:rFonts w:ascii="Calibri"/>
          <w:color w:val="auto"/>
        </w:rPr>
        <w:instrText xml:space="preserve"> </w:instrText>
      </w:r>
      <w:r>
        <w:rPr>
          <w:color w:val="auto"/>
        </w:rPr>
        <w:fldChar w:fldCharType="separate"/>
      </w:r>
      <w:r>
        <w:rPr>
          <w:rStyle w:val="21"/>
          <w:rFonts w:ascii="Calibri"/>
          <w:color w:val="auto"/>
          <w:kern w:val="0"/>
        </w:rPr>
        <w:t>7.1</w:t>
      </w:r>
      <w:r>
        <w:rPr>
          <w:rStyle w:val="21"/>
          <w:rFonts w:hint="eastAsia" w:ascii="Calibri" w:hAnsi="宋体"/>
          <w:color w:val="auto"/>
        </w:rPr>
        <w:t xml:space="preserve"> 检定条件</w:t>
      </w:r>
      <w:r>
        <w:rPr>
          <w:color w:val="auto"/>
        </w:rPr>
        <w:tab/>
      </w:r>
      <w:r>
        <w:rPr>
          <w:rFonts w:hint="eastAsia"/>
          <w:color w:val="auto"/>
        </w:rPr>
        <w:t>8</w:t>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"_Toc468349718"</w:instrText>
      </w:r>
      <w:r>
        <w:rPr>
          <w:rStyle w:val="21"/>
          <w:rFonts w:ascii="Calibri"/>
          <w:color w:val="auto"/>
        </w:rPr>
        <w:instrText xml:space="preserve"> </w:instrText>
      </w:r>
      <w:r>
        <w:rPr>
          <w:color w:val="auto"/>
        </w:rPr>
        <w:fldChar w:fldCharType="separate"/>
      </w:r>
      <w:r>
        <w:rPr>
          <w:rStyle w:val="21"/>
          <w:rFonts w:ascii="Calibri"/>
          <w:color w:val="auto"/>
          <w:kern w:val="0"/>
        </w:rPr>
        <w:t>7.2</w:t>
      </w:r>
      <w:r>
        <w:rPr>
          <w:rStyle w:val="21"/>
          <w:rFonts w:hint="eastAsia" w:ascii="Calibri" w:hAnsi="宋体"/>
          <w:color w:val="auto"/>
        </w:rPr>
        <w:t xml:space="preserve"> 检定项目</w:t>
      </w:r>
      <w:r>
        <w:rPr>
          <w:color w:val="auto"/>
        </w:rPr>
        <w:tab/>
      </w:r>
      <w:r>
        <w:rPr>
          <w:rFonts w:hint="eastAsia"/>
          <w:color w:val="auto"/>
        </w:rPr>
        <w:t>9</w:t>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"_Toc468349719"</w:instrText>
      </w:r>
      <w:r>
        <w:rPr>
          <w:rStyle w:val="21"/>
          <w:rFonts w:ascii="Calibri"/>
          <w:color w:val="auto"/>
        </w:rPr>
        <w:instrText xml:space="preserve"> </w:instrText>
      </w:r>
      <w:r>
        <w:rPr>
          <w:color w:val="auto"/>
        </w:rPr>
        <w:fldChar w:fldCharType="separate"/>
      </w:r>
      <w:r>
        <w:rPr>
          <w:rStyle w:val="21"/>
          <w:rFonts w:ascii="Calibri"/>
          <w:color w:val="auto"/>
          <w:kern w:val="0"/>
        </w:rPr>
        <w:t>7.3</w:t>
      </w:r>
      <w:r>
        <w:rPr>
          <w:rStyle w:val="21"/>
          <w:rFonts w:hint="eastAsia" w:ascii="Calibri" w:hAnsi="宋体"/>
          <w:color w:val="auto"/>
        </w:rPr>
        <w:t xml:space="preserve"> 检定方法</w:t>
      </w:r>
      <w:r>
        <w:rPr>
          <w:color w:val="auto"/>
        </w:rPr>
        <w:tab/>
      </w:r>
      <w:r>
        <w:rPr>
          <w:color w:val="auto"/>
        </w:rPr>
        <w:fldChar w:fldCharType="begin"/>
      </w:r>
      <w:r>
        <w:rPr>
          <w:color w:val="auto"/>
        </w:rPr>
        <w:instrText xml:space="preserve"> PAGEREF _Toc468349719 \h </w:instrText>
      </w:r>
      <w:r>
        <w:rPr>
          <w:color w:val="auto"/>
        </w:rPr>
        <w:fldChar w:fldCharType="separate"/>
      </w:r>
      <w:r>
        <w:rPr>
          <w:color w:val="auto"/>
        </w:rPr>
        <w:t>9</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"_Toc468349720"</w:instrText>
      </w:r>
      <w:r>
        <w:rPr>
          <w:rStyle w:val="21"/>
          <w:rFonts w:ascii="Calibri"/>
          <w:color w:val="auto"/>
        </w:rPr>
        <w:instrText xml:space="preserve"> </w:instrText>
      </w:r>
      <w:r>
        <w:rPr>
          <w:color w:val="auto"/>
        </w:rPr>
        <w:fldChar w:fldCharType="separate"/>
      </w:r>
      <w:r>
        <w:rPr>
          <w:rStyle w:val="21"/>
          <w:rFonts w:ascii="Calibri"/>
          <w:color w:val="auto"/>
          <w:kern w:val="0"/>
        </w:rPr>
        <w:t>7.4</w:t>
      </w:r>
      <w:r>
        <w:rPr>
          <w:rStyle w:val="21"/>
          <w:rFonts w:hint="eastAsia" w:ascii="Calibri" w:hAnsi="宋体"/>
          <w:color w:val="auto"/>
        </w:rPr>
        <w:t xml:space="preserve"> 检定结果的处理</w:t>
      </w:r>
      <w:r>
        <w:rPr>
          <w:color w:val="auto"/>
        </w:rPr>
        <w:tab/>
      </w:r>
      <w:r>
        <w:rPr>
          <w:color w:val="auto"/>
        </w:rPr>
        <w:fldChar w:fldCharType="begin"/>
      </w:r>
      <w:r>
        <w:rPr>
          <w:color w:val="auto"/>
        </w:rPr>
        <w:instrText xml:space="preserve"> PAGEREF _Toc468349720 \h </w:instrText>
      </w:r>
      <w:r>
        <w:rPr>
          <w:color w:val="auto"/>
        </w:rPr>
        <w:fldChar w:fldCharType="separate"/>
      </w:r>
      <w:r>
        <w:rPr>
          <w:color w:val="auto"/>
        </w:rPr>
        <w:t>13</w:t>
      </w:r>
      <w:r>
        <w:rPr>
          <w:color w:val="auto"/>
        </w:rPr>
        <w:fldChar w:fldCharType="end"/>
      </w:r>
      <w:r>
        <w:rPr>
          <w:color w:val="auto"/>
        </w:rPr>
        <w:fldChar w:fldCharType="end"/>
      </w:r>
    </w:p>
    <w:p>
      <w:pPr>
        <w:pStyle w:val="9"/>
        <w:tabs>
          <w:tab w:val="right" w:leader="dot" w:pos="9060"/>
        </w:tabs>
        <w:ind w:left="420" w:leftChars="0" w:hanging="420" w:hangingChars="200"/>
        <w:rPr>
          <w:color w:val="auto"/>
          <w:szCs w:val="22"/>
        </w:rPr>
      </w:pPr>
      <w:r>
        <w:rPr>
          <w:color w:val="auto"/>
        </w:rPr>
        <w:fldChar w:fldCharType="begin"/>
      </w:r>
      <w:r>
        <w:rPr>
          <w:rStyle w:val="21"/>
          <w:rFonts w:ascii="Calibri"/>
          <w:color w:val="auto"/>
        </w:rPr>
        <w:instrText xml:space="preserve"> </w:instrText>
      </w:r>
      <w:r>
        <w:rPr>
          <w:color w:val="auto"/>
        </w:rPr>
        <w:instrText xml:space="preserve">HYPERLINK \l "_Toc468349721"</w:instrText>
      </w:r>
      <w:r>
        <w:rPr>
          <w:rStyle w:val="21"/>
          <w:rFonts w:ascii="Calibri"/>
          <w:color w:val="auto"/>
        </w:rPr>
        <w:instrText xml:space="preserve"> </w:instrText>
      </w:r>
      <w:r>
        <w:rPr>
          <w:color w:val="auto"/>
        </w:rPr>
        <w:fldChar w:fldCharType="separate"/>
      </w:r>
      <w:r>
        <w:rPr>
          <w:rStyle w:val="21"/>
          <w:rFonts w:ascii="Calibri"/>
          <w:color w:val="auto"/>
          <w:kern w:val="0"/>
        </w:rPr>
        <w:t>7.5</w:t>
      </w:r>
      <w:r>
        <w:rPr>
          <w:rStyle w:val="21"/>
          <w:rFonts w:hint="eastAsia" w:ascii="Calibri" w:hAnsi="宋体"/>
          <w:color w:val="auto"/>
        </w:rPr>
        <w:t xml:space="preserve"> 检定周期</w:t>
      </w:r>
      <w:r>
        <w:rPr>
          <w:color w:val="auto"/>
        </w:rPr>
        <w:tab/>
      </w:r>
      <w:r>
        <w:rPr>
          <w:color w:val="auto"/>
        </w:rPr>
        <w:fldChar w:fldCharType="begin"/>
      </w:r>
      <w:r>
        <w:rPr>
          <w:color w:val="auto"/>
        </w:rPr>
        <w:instrText xml:space="preserve"> PAGEREF _Toc468349721 \h </w:instrText>
      </w:r>
      <w:r>
        <w:rPr>
          <w:color w:val="auto"/>
        </w:rPr>
        <w:fldChar w:fldCharType="separate"/>
      </w:r>
      <w:r>
        <w:rPr>
          <w:color w:val="auto"/>
        </w:rPr>
        <w:t>13</w:t>
      </w:r>
      <w:r>
        <w:rPr>
          <w:color w:val="auto"/>
        </w:rPr>
        <w:fldChar w:fldCharType="end"/>
      </w:r>
      <w:r>
        <w:rPr>
          <w:color w:val="auto"/>
        </w:rPr>
        <w:fldChar w:fldCharType="end"/>
      </w:r>
    </w:p>
    <w:p>
      <w:pPr>
        <w:pStyle w:val="13"/>
        <w:tabs>
          <w:tab w:val="right" w:leader="dot" w:pos="9060"/>
        </w:tabs>
        <w:ind w:left="420" w:hanging="420" w:hangingChars="200"/>
        <w:rPr>
          <w:rFonts w:ascii="Calibri"/>
          <w:color w:val="auto"/>
        </w:rPr>
      </w:pPr>
      <w:r>
        <w:rPr>
          <w:rFonts w:ascii="Calibri"/>
          <w:color w:val="auto"/>
        </w:rPr>
        <w:fldChar w:fldCharType="begin"/>
      </w:r>
      <w:r>
        <w:rPr>
          <w:rStyle w:val="21"/>
          <w:rFonts w:ascii="Calibri"/>
          <w:color w:val="auto"/>
        </w:rPr>
        <w:instrText xml:space="preserve"> </w:instrText>
      </w:r>
      <w:r>
        <w:rPr>
          <w:rFonts w:ascii="Calibri"/>
          <w:color w:val="auto"/>
        </w:rPr>
        <w:instrText xml:space="preserve">HYPERLINK \l "_Toc468349722"</w:instrText>
      </w:r>
      <w:r>
        <w:rPr>
          <w:rStyle w:val="21"/>
          <w:rFonts w:ascii="Calibri"/>
          <w:color w:val="auto"/>
        </w:rPr>
        <w:instrText xml:space="preserve"> </w:instrText>
      </w:r>
      <w:r>
        <w:rPr>
          <w:rFonts w:ascii="Calibri"/>
          <w:color w:val="auto"/>
        </w:rPr>
        <w:fldChar w:fldCharType="separate"/>
      </w:r>
      <w:r>
        <w:rPr>
          <w:rStyle w:val="21"/>
          <w:rFonts w:hint="eastAsia" w:ascii="Calibri"/>
          <w:color w:val="auto"/>
        </w:rPr>
        <w:t>附录</w:t>
      </w:r>
      <w:r>
        <w:rPr>
          <w:rStyle w:val="21"/>
          <w:rFonts w:ascii="Calibri"/>
          <w:color w:val="auto"/>
        </w:rPr>
        <w:t xml:space="preserve">A   </w:t>
      </w:r>
      <w:r>
        <w:rPr>
          <w:rStyle w:val="21"/>
          <w:rFonts w:hint="eastAsia" w:ascii="Calibri"/>
          <w:color w:val="auto"/>
        </w:rPr>
        <w:t>燃气表附加功能检测</w:t>
      </w:r>
      <w:r>
        <w:rPr>
          <w:rFonts w:ascii="Calibri"/>
          <w:color w:val="auto"/>
        </w:rPr>
        <w:tab/>
      </w:r>
      <w:r>
        <w:rPr>
          <w:rFonts w:ascii="Calibri"/>
          <w:color w:val="auto"/>
        </w:rPr>
        <w:fldChar w:fldCharType="begin"/>
      </w:r>
      <w:r>
        <w:rPr>
          <w:rFonts w:ascii="Calibri"/>
          <w:color w:val="auto"/>
        </w:rPr>
        <w:instrText xml:space="preserve"> PAGEREF _Toc468349722 \h </w:instrText>
      </w:r>
      <w:r>
        <w:rPr>
          <w:rFonts w:ascii="Calibri"/>
          <w:color w:val="auto"/>
        </w:rPr>
        <w:fldChar w:fldCharType="separate"/>
      </w:r>
      <w:r>
        <w:rPr>
          <w:rFonts w:ascii="Calibri"/>
          <w:color w:val="auto"/>
        </w:rPr>
        <w:t>14</w:t>
      </w:r>
      <w:r>
        <w:rPr>
          <w:rFonts w:ascii="Calibri"/>
          <w:color w:val="auto"/>
        </w:rPr>
        <w:fldChar w:fldCharType="end"/>
      </w:r>
      <w:r>
        <w:rPr>
          <w:rFonts w:ascii="Calibri"/>
          <w:color w:val="auto"/>
        </w:rPr>
        <w:fldChar w:fldCharType="end"/>
      </w:r>
    </w:p>
    <w:p>
      <w:pPr>
        <w:pStyle w:val="13"/>
        <w:tabs>
          <w:tab w:val="right" w:leader="dot" w:pos="9060"/>
        </w:tabs>
        <w:ind w:left="420" w:hanging="420" w:hangingChars="200"/>
        <w:rPr>
          <w:rFonts w:ascii="Calibri"/>
          <w:color w:val="auto"/>
        </w:rPr>
      </w:pPr>
      <w:r>
        <w:rPr>
          <w:rFonts w:ascii="Calibri"/>
          <w:color w:val="auto"/>
        </w:rPr>
        <w:fldChar w:fldCharType="begin"/>
      </w:r>
      <w:r>
        <w:rPr>
          <w:rStyle w:val="21"/>
          <w:rFonts w:ascii="Calibri"/>
          <w:color w:val="auto"/>
        </w:rPr>
        <w:instrText xml:space="preserve"> </w:instrText>
      </w:r>
      <w:r>
        <w:rPr>
          <w:rFonts w:ascii="Calibri"/>
          <w:color w:val="auto"/>
        </w:rPr>
        <w:instrText xml:space="preserve">HYPERLINK \l "_Toc468349723"</w:instrText>
      </w:r>
      <w:r>
        <w:rPr>
          <w:rStyle w:val="21"/>
          <w:rFonts w:ascii="Calibri"/>
          <w:color w:val="auto"/>
        </w:rPr>
        <w:instrText xml:space="preserve"> </w:instrText>
      </w:r>
      <w:r>
        <w:rPr>
          <w:rFonts w:ascii="Calibri"/>
          <w:color w:val="auto"/>
        </w:rPr>
        <w:fldChar w:fldCharType="separate"/>
      </w:r>
      <w:r>
        <w:rPr>
          <w:rStyle w:val="21"/>
          <w:rFonts w:hint="eastAsia" w:ascii="Calibri"/>
          <w:color w:val="auto"/>
        </w:rPr>
        <w:t>附录</w:t>
      </w:r>
      <w:r>
        <w:rPr>
          <w:rStyle w:val="21"/>
          <w:rFonts w:ascii="Calibri"/>
          <w:color w:val="auto"/>
        </w:rPr>
        <w:t xml:space="preserve">B   </w:t>
      </w:r>
      <w:r>
        <w:rPr>
          <w:rStyle w:val="21"/>
          <w:rFonts w:hint="eastAsia" w:ascii="宋体" w:hAnsi="宋体" w:cs="宋体"/>
          <w:color w:val="auto"/>
        </w:rPr>
        <w:t>检定记录信息及格式</w:t>
      </w:r>
      <w:r>
        <w:rPr>
          <w:rFonts w:ascii="Calibri"/>
          <w:color w:val="auto"/>
        </w:rPr>
        <w:tab/>
      </w:r>
      <w:r>
        <w:rPr>
          <w:rFonts w:ascii="Calibri"/>
          <w:color w:val="auto"/>
        </w:rPr>
        <w:fldChar w:fldCharType="begin"/>
      </w:r>
      <w:r>
        <w:rPr>
          <w:rFonts w:ascii="Calibri"/>
          <w:color w:val="auto"/>
        </w:rPr>
        <w:instrText xml:space="preserve"> PAGEREF _Toc468349723 \h </w:instrText>
      </w:r>
      <w:r>
        <w:rPr>
          <w:rFonts w:ascii="Calibri"/>
          <w:color w:val="auto"/>
        </w:rPr>
        <w:fldChar w:fldCharType="separate"/>
      </w:r>
      <w:r>
        <w:rPr>
          <w:rFonts w:ascii="Calibri"/>
          <w:color w:val="auto"/>
        </w:rPr>
        <w:t>14</w:t>
      </w:r>
      <w:r>
        <w:rPr>
          <w:rFonts w:ascii="Calibri"/>
          <w:color w:val="auto"/>
        </w:rPr>
        <w:fldChar w:fldCharType="end"/>
      </w:r>
      <w:r>
        <w:rPr>
          <w:rFonts w:ascii="Calibri"/>
          <w:color w:val="auto"/>
        </w:rPr>
        <w:fldChar w:fldCharType="end"/>
      </w:r>
    </w:p>
    <w:p>
      <w:pPr>
        <w:pStyle w:val="13"/>
        <w:tabs>
          <w:tab w:val="right" w:leader="dot" w:pos="9060"/>
        </w:tabs>
        <w:rPr>
          <w:rFonts w:ascii="Calibri"/>
          <w:color w:val="auto"/>
          <w:kern w:val="2"/>
          <w:szCs w:val="22"/>
        </w:rPr>
      </w:pPr>
      <w:r>
        <w:rPr>
          <w:rFonts w:ascii="Calibri"/>
          <w:color w:val="auto"/>
        </w:rPr>
        <w:fldChar w:fldCharType="begin"/>
      </w:r>
      <w:r>
        <w:rPr>
          <w:rStyle w:val="21"/>
          <w:rFonts w:ascii="Calibri"/>
          <w:color w:val="auto"/>
        </w:rPr>
        <w:instrText xml:space="preserve"> </w:instrText>
      </w:r>
      <w:r>
        <w:rPr>
          <w:rFonts w:ascii="Calibri"/>
          <w:color w:val="auto"/>
        </w:rPr>
        <w:instrText xml:space="preserve">HYPERLINK \l "_Toc468349723"</w:instrText>
      </w:r>
      <w:r>
        <w:rPr>
          <w:rStyle w:val="21"/>
          <w:rFonts w:ascii="Calibri"/>
          <w:color w:val="auto"/>
        </w:rPr>
        <w:instrText xml:space="preserve"> </w:instrText>
      </w:r>
      <w:r>
        <w:rPr>
          <w:rFonts w:ascii="Calibri"/>
          <w:color w:val="auto"/>
        </w:rPr>
        <w:fldChar w:fldCharType="separate"/>
      </w:r>
      <w:r>
        <w:rPr>
          <w:rStyle w:val="21"/>
          <w:rFonts w:hint="eastAsia" w:ascii="Calibri"/>
          <w:color w:val="auto"/>
        </w:rPr>
        <w:t>附录C</w:t>
      </w:r>
      <w:r>
        <w:rPr>
          <w:rStyle w:val="21"/>
          <w:rFonts w:ascii="Calibri"/>
          <w:color w:val="auto"/>
        </w:rPr>
        <w:t xml:space="preserve">   </w:t>
      </w:r>
      <w:r>
        <w:rPr>
          <w:rStyle w:val="21"/>
          <w:rFonts w:hint="eastAsia" w:ascii="宋体" w:hAnsi="宋体" w:cs="宋体"/>
          <w:color w:val="auto"/>
        </w:rPr>
        <w:t>检定证书/检定结果通知书内页信息及格式</w:t>
      </w:r>
      <w:r>
        <w:rPr>
          <w:rFonts w:ascii="Calibri"/>
          <w:color w:val="auto"/>
        </w:rPr>
        <w:tab/>
      </w:r>
      <w:r>
        <w:rPr>
          <w:rFonts w:ascii="Calibri"/>
          <w:color w:val="auto"/>
        </w:rPr>
        <w:fldChar w:fldCharType="begin"/>
      </w:r>
      <w:r>
        <w:rPr>
          <w:rFonts w:ascii="Calibri"/>
          <w:color w:val="auto"/>
        </w:rPr>
        <w:instrText xml:space="preserve"> PAGEREF _Toc468349723 \h </w:instrText>
      </w:r>
      <w:r>
        <w:rPr>
          <w:rFonts w:ascii="Calibri"/>
          <w:color w:val="auto"/>
        </w:rPr>
        <w:fldChar w:fldCharType="separate"/>
      </w:r>
      <w:r>
        <w:rPr>
          <w:rFonts w:ascii="Calibri"/>
          <w:color w:val="auto"/>
        </w:rPr>
        <w:t>14</w:t>
      </w:r>
      <w:r>
        <w:rPr>
          <w:rFonts w:ascii="Calibri"/>
          <w:color w:val="auto"/>
        </w:rPr>
        <w:fldChar w:fldCharType="end"/>
      </w:r>
      <w:r>
        <w:rPr>
          <w:rFonts w:ascii="Calibri"/>
          <w:color w:val="auto"/>
        </w:rPr>
        <w:fldChar w:fldCharType="end"/>
      </w:r>
    </w:p>
    <w:p>
      <w:pPr>
        <w:pStyle w:val="13"/>
        <w:tabs>
          <w:tab w:val="right" w:leader="dot" w:pos="9060"/>
        </w:tabs>
        <w:rPr>
          <w:rFonts w:hint="eastAsia"/>
          <w:color w:val="auto"/>
          <w:sz w:val="24"/>
          <w:szCs w:val="24"/>
        </w:rPr>
      </w:pPr>
      <w:r>
        <w:rPr>
          <w:rFonts w:ascii="Calibri"/>
          <w:color w:val="auto"/>
          <w:kern w:val="2"/>
          <w:szCs w:val="22"/>
        </w:rPr>
        <w:fldChar w:fldCharType="end"/>
      </w:r>
    </w:p>
    <w:p>
      <w:pPr>
        <w:jc w:val="center"/>
        <w:rPr>
          <w:rFonts w:hint="eastAsia" w:ascii="黑体" w:eastAsia="黑体"/>
          <w:color w:val="auto"/>
          <w:sz w:val="32"/>
          <w:szCs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pStyle w:val="3"/>
        <w:jc w:val="center"/>
        <w:rPr>
          <w:rFonts w:hint="eastAsia"/>
          <w:color w:val="auto"/>
          <w:kern w:val="0"/>
          <w:sz w:val="24"/>
          <w:szCs w:val="20"/>
        </w:rPr>
      </w:pPr>
      <w:bookmarkStart w:id="27" w:name="_Toc468349702"/>
      <w:bookmarkStart w:id="28" w:name="_Toc318907301"/>
      <w:bookmarkStart w:id="29" w:name="_Toc301019369"/>
      <w:bookmarkStart w:id="30" w:name="_Toc301019301"/>
      <w:bookmarkStart w:id="31" w:name="_Toc301019263"/>
      <w:bookmarkStart w:id="32" w:name="OLE_LINK1"/>
      <w:bookmarkStart w:id="33" w:name="OLE_LINK2"/>
      <w:r>
        <w:rPr>
          <w:rFonts w:hint="eastAsia" w:ascii="宋体" w:hAnsi="宋体" w:eastAsia="宋体"/>
          <w:bCs w:val="0"/>
          <w:color w:val="auto"/>
          <w:kern w:val="0"/>
          <w:sz w:val="28"/>
          <w:szCs w:val="28"/>
        </w:rPr>
        <w:t>引  言</w:t>
      </w:r>
      <w:bookmarkEnd w:id="27"/>
      <w:bookmarkEnd w:id="28"/>
      <w:bookmarkEnd w:id="29"/>
      <w:bookmarkEnd w:id="30"/>
      <w:bookmarkEnd w:id="31"/>
      <w:r>
        <w:rPr>
          <w:rFonts w:hint="eastAsia" w:ascii="宋体" w:hAnsi="宋体" w:eastAsia="宋体"/>
          <w:bCs w:val="0"/>
          <w:color w:val="auto"/>
          <w:kern w:val="0"/>
          <w:sz w:val="28"/>
          <w:szCs w:val="28"/>
        </w:rPr>
        <w:t xml:space="preserve">  </w:t>
      </w:r>
      <w:bookmarkEnd w:id="32"/>
      <w:bookmarkEnd w:id="33"/>
      <w:r>
        <w:rPr>
          <w:rFonts w:hint="eastAsia" w:ascii="宋体" w:hAnsi="宋体" w:eastAsia="宋体"/>
          <w:bCs w:val="0"/>
          <w:color w:val="auto"/>
          <w:kern w:val="0"/>
          <w:sz w:val="28"/>
          <w:szCs w:val="28"/>
        </w:rPr>
        <w:t xml:space="preserve"> </w:t>
      </w:r>
    </w:p>
    <w:p>
      <w:pPr>
        <w:pStyle w:val="8"/>
        <w:adjustRightInd w:val="0"/>
        <w:snapToGrid w:val="0"/>
        <w:spacing w:line="312" w:lineRule="auto"/>
        <w:ind w:firstLine="482"/>
        <w:rPr>
          <w:rFonts w:hint="eastAsia"/>
          <w:color w:val="auto"/>
        </w:rPr>
      </w:pPr>
      <w:r>
        <w:rPr>
          <w:rFonts w:hint="eastAsia"/>
          <w:color w:val="auto"/>
        </w:rPr>
        <w:t>本规程以国际法制计量组织（OIML）的国际建议R137-1&amp;2：2012 Gas Meter</w:t>
      </w:r>
      <w:r>
        <w:rPr>
          <w:color w:val="auto"/>
        </w:rPr>
        <w:t>s</w:t>
      </w:r>
      <w:r>
        <w:rPr>
          <w:rFonts w:hint="eastAsia"/>
          <w:color w:val="auto"/>
        </w:rPr>
        <w:t>（气体流量计）和欧盟标准</w:t>
      </w:r>
      <w:r>
        <w:rPr>
          <w:color w:val="auto"/>
        </w:rPr>
        <w:t>EN14236</w:t>
      </w:r>
      <w:r>
        <w:rPr>
          <w:rFonts w:hAnsi="宋体"/>
          <w:color w:val="auto"/>
        </w:rPr>
        <w:t>：</w:t>
      </w:r>
      <w:r>
        <w:rPr>
          <w:color w:val="auto"/>
        </w:rPr>
        <w:t>2007</w:t>
      </w:r>
      <w:r>
        <w:rPr>
          <w:rFonts w:hAnsi="宋体"/>
          <w:color w:val="auto"/>
        </w:rPr>
        <w:t xml:space="preserve"> Ultrasonic domestic gas meters</w:t>
      </w:r>
      <w:r>
        <w:rPr>
          <w:rFonts w:hint="eastAsia"/>
          <w:color w:val="auto"/>
        </w:rPr>
        <w:t>（户用超声波燃气表</w:t>
      </w:r>
      <w:r>
        <w:rPr>
          <w:rFonts w:hint="eastAsia" w:hAnsi="宋体"/>
          <w:color w:val="auto"/>
        </w:rPr>
        <w:t>）</w:t>
      </w:r>
      <w:r>
        <w:rPr>
          <w:rFonts w:hint="eastAsia"/>
          <w:color w:val="auto"/>
        </w:rPr>
        <w:t>为主要技术依据，参考了国家检定规程JJG577-2012</w:t>
      </w:r>
      <w:r>
        <w:rPr>
          <w:rFonts w:hint="eastAsia"/>
          <w:color w:val="auto"/>
          <w:kern w:val="0"/>
          <w:szCs w:val="20"/>
        </w:rPr>
        <w:t>《</w:t>
      </w:r>
      <w:r>
        <w:rPr>
          <w:color w:val="auto"/>
          <w:kern w:val="0"/>
          <w:szCs w:val="20"/>
        </w:rPr>
        <w:t>膜式燃</w:t>
      </w:r>
      <w:r>
        <w:rPr>
          <w:rFonts w:hint="eastAsia"/>
          <w:color w:val="auto"/>
          <w:kern w:val="0"/>
          <w:szCs w:val="20"/>
        </w:rPr>
        <w:t>气表》和</w:t>
      </w:r>
      <w:r>
        <w:rPr>
          <w:rFonts w:hint="eastAsia" w:hAnsi="宋体"/>
          <w:color w:val="auto"/>
        </w:rPr>
        <w:t xml:space="preserve">JJG1030-2007 </w:t>
      </w:r>
      <w:r>
        <w:rPr>
          <w:rFonts w:hint="eastAsia"/>
          <w:color w:val="auto"/>
          <w:kern w:val="0"/>
          <w:szCs w:val="20"/>
        </w:rPr>
        <w:t>《</w:t>
      </w:r>
      <w:r>
        <w:rPr>
          <w:rFonts w:hint="eastAsia" w:hAnsi="宋体"/>
          <w:color w:val="auto"/>
        </w:rPr>
        <w:t>超声流量计</w:t>
      </w:r>
      <w:r>
        <w:rPr>
          <w:rFonts w:hint="eastAsia"/>
          <w:color w:val="auto"/>
          <w:kern w:val="0"/>
          <w:szCs w:val="20"/>
        </w:rPr>
        <w:t>》，</w:t>
      </w:r>
      <w:r>
        <w:rPr>
          <w:rFonts w:hint="eastAsia"/>
          <w:color w:val="auto"/>
        </w:rPr>
        <w:t>并综合我国超声波燃气表的现状进行制定的</w:t>
      </w:r>
      <w:r>
        <w:rPr>
          <w:rFonts w:hint="eastAsia"/>
          <w:color w:val="auto"/>
          <w:kern w:val="0"/>
          <w:szCs w:val="20"/>
        </w:rPr>
        <w:t>。在主要的技术指标上与国际建议</w:t>
      </w:r>
      <w:r>
        <w:rPr>
          <w:rFonts w:hint="eastAsia"/>
          <w:color w:val="auto"/>
        </w:rPr>
        <w:t>和欧盟标准</w:t>
      </w:r>
      <w:r>
        <w:rPr>
          <w:rFonts w:hint="eastAsia"/>
          <w:color w:val="auto"/>
          <w:kern w:val="0"/>
        </w:rPr>
        <w:t>等效</w:t>
      </w:r>
      <w:r>
        <w:rPr>
          <w:rFonts w:hint="eastAsia"/>
          <w:color w:val="auto"/>
          <w:kern w:val="0"/>
          <w:szCs w:val="20"/>
        </w:rPr>
        <w:t>。</w:t>
      </w:r>
    </w:p>
    <w:p>
      <w:pPr>
        <w:pStyle w:val="29"/>
        <w:spacing w:line="360" w:lineRule="auto"/>
        <w:ind w:firstLine="480" w:firstLineChars="200"/>
        <w:rPr>
          <w:rFonts w:hint="eastAsia" w:ascii="Times New Roman"/>
          <w:color w:val="auto"/>
          <w:kern w:val="2"/>
          <w:sz w:val="24"/>
          <w:szCs w:val="24"/>
        </w:rPr>
      </w:pPr>
      <w:r>
        <w:rPr>
          <w:rFonts w:hint="eastAsia" w:ascii="Times New Roman"/>
          <w:color w:val="auto"/>
          <w:kern w:val="2"/>
          <w:sz w:val="24"/>
          <w:szCs w:val="24"/>
        </w:rPr>
        <w:t>本</w:t>
      </w:r>
      <w:r>
        <w:rPr>
          <w:rFonts w:hint="eastAsia"/>
          <w:color w:val="auto"/>
          <w:sz w:val="24"/>
        </w:rPr>
        <w:t>规程</w:t>
      </w:r>
      <w:r>
        <w:rPr>
          <w:rFonts w:hint="eastAsia" w:ascii="Times New Roman"/>
          <w:color w:val="auto"/>
          <w:kern w:val="2"/>
          <w:sz w:val="24"/>
          <w:szCs w:val="24"/>
        </w:rPr>
        <w:t>按照JJF 1002-2010《国家计量检定规程编写规则》编写。</w:t>
      </w:r>
    </w:p>
    <w:p>
      <w:pPr>
        <w:pStyle w:val="29"/>
        <w:spacing w:line="360" w:lineRule="auto"/>
        <w:ind w:firstLine="480" w:firstLineChars="200"/>
        <w:rPr>
          <w:rFonts w:hint="eastAsia" w:ascii="Times New Roman"/>
          <w:color w:val="auto"/>
          <w:kern w:val="2"/>
          <w:sz w:val="24"/>
          <w:szCs w:val="24"/>
        </w:rPr>
      </w:pPr>
      <w:r>
        <w:rPr>
          <w:rFonts w:hint="eastAsia" w:ascii="Times New Roman"/>
          <w:color w:val="auto"/>
          <w:kern w:val="2"/>
          <w:sz w:val="24"/>
          <w:szCs w:val="24"/>
        </w:rPr>
        <w:t>本</w:t>
      </w:r>
      <w:r>
        <w:rPr>
          <w:rFonts w:hint="eastAsia"/>
          <w:color w:val="auto"/>
          <w:sz w:val="24"/>
        </w:rPr>
        <w:t>规程</w:t>
      </w:r>
      <w:r>
        <w:rPr>
          <w:rFonts w:hint="eastAsia" w:ascii="Times New Roman"/>
          <w:color w:val="auto"/>
          <w:kern w:val="2"/>
          <w:sz w:val="24"/>
          <w:szCs w:val="24"/>
        </w:rPr>
        <w:t>规定了范围、引用文件、术语和计量单位、</w:t>
      </w:r>
      <w:r>
        <w:rPr>
          <w:rFonts w:ascii="Times New Roman"/>
          <w:color w:val="auto"/>
          <w:kern w:val="2"/>
          <w:sz w:val="24"/>
          <w:szCs w:val="24"/>
        </w:rPr>
        <w:t>概述</w:t>
      </w:r>
      <w:r>
        <w:rPr>
          <w:rFonts w:hint="eastAsia" w:ascii="Times New Roman"/>
          <w:color w:val="auto"/>
          <w:kern w:val="2"/>
          <w:sz w:val="24"/>
          <w:szCs w:val="24"/>
        </w:rPr>
        <w:t>、计量性能要求、通用技术要求、计量器具控制等内容。</w:t>
      </w:r>
    </w:p>
    <w:p>
      <w:pPr>
        <w:pStyle w:val="29"/>
        <w:spacing w:line="360" w:lineRule="auto"/>
        <w:ind w:firstLine="480" w:firstLineChars="200"/>
        <w:rPr>
          <w:rFonts w:hint="eastAsia" w:ascii="Times New Roman"/>
          <w:color w:val="auto"/>
          <w:kern w:val="2"/>
          <w:sz w:val="24"/>
          <w:szCs w:val="24"/>
        </w:rPr>
      </w:pPr>
      <w:r>
        <w:rPr>
          <w:rFonts w:hint="eastAsia" w:ascii="Times New Roman"/>
          <w:color w:val="auto"/>
          <w:kern w:val="2"/>
          <w:sz w:val="24"/>
          <w:szCs w:val="24"/>
        </w:rPr>
        <w:t>本规程所用术语，除在本规范中专门定义的外，均采用JJF 1001《通用计量术语及定义》和JJF 1004《流量计量名词术语及定义》。</w:t>
      </w:r>
    </w:p>
    <w:p>
      <w:pPr>
        <w:spacing w:line="360" w:lineRule="auto"/>
        <w:ind w:firstLine="480" w:firstLineChars="200"/>
        <w:rPr>
          <w:rFonts w:hint="eastAsia"/>
          <w:color w:val="auto"/>
          <w:sz w:val="24"/>
        </w:rPr>
      </w:pPr>
      <w:r>
        <w:rPr>
          <w:rFonts w:hint="eastAsia"/>
          <w:color w:val="auto"/>
          <w:sz w:val="24"/>
        </w:rPr>
        <w:t>本规程是首次制订。</w:t>
      </w: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pPr>
    </w:p>
    <w:p>
      <w:pPr>
        <w:tabs>
          <w:tab w:val="left" w:pos="1620"/>
          <w:tab w:val="left" w:pos="8460"/>
        </w:tabs>
        <w:spacing w:line="360" w:lineRule="auto"/>
        <w:jc w:val="center"/>
        <w:rPr>
          <w:b/>
          <w:color w:val="auto"/>
          <w:sz w:val="32"/>
        </w:rPr>
        <w:sectPr>
          <w:pgSz w:w="11906" w:h="16838"/>
          <w:pgMar w:top="1440" w:right="1418" w:bottom="1440" w:left="1418" w:header="851" w:footer="992" w:gutter="0"/>
          <w:pgNumType w:fmt="upperRoman" w:start="1"/>
          <w:cols w:space="720" w:num="1"/>
          <w:titlePg/>
          <w:docGrid w:type="lines" w:linePitch="312" w:charSpace="0"/>
        </w:sectPr>
      </w:pPr>
    </w:p>
    <w:p>
      <w:pPr>
        <w:pageBreakBefore/>
        <w:tabs>
          <w:tab w:val="left" w:pos="1620"/>
          <w:tab w:val="left" w:pos="8460"/>
        </w:tabs>
        <w:spacing w:line="360" w:lineRule="auto"/>
        <w:jc w:val="center"/>
        <w:rPr>
          <w:rFonts w:hint="eastAsia"/>
          <w:b/>
          <w:color w:val="auto"/>
          <w:sz w:val="32"/>
        </w:rPr>
      </w:pPr>
      <w:r>
        <w:rPr>
          <w:rFonts w:hint="eastAsia"/>
          <w:b/>
          <w:color w:val="auto"/>
          <w:sz w:val="32"/>
        </w:rPr>
        <w:t>超声波燃气表检定规程</w:t>
      </w:r>
    </w:p>
    <w:p>
      <w:pPr>
        <w:pStyle w:val="4"/>
        <w:spacing w:line="240" w:lineRule="auto"/>
        <w:rPr>
          <w:bCs w:val="0"/>
          <w:color w:val="auto"/>
          <w:sz w:val="24"/>
          <w:szCs w:val="24"/>
        </w:rPr>
      </w:pPr>
      <w:bookmarkStart w:id="34" w:name="_Toc468349703"/>
      <w:r>
        <w:rPr>
          <w:rFonts w:hint="eastAsia" w:ascii="黑体" w:eastAsia="黑体"/>
          <w:bCs w:val="0"/>
          <w:color w:val="auto"/>
          <w:sz w:val="24"/>
          <w:szCs w:val="24"/>
        </w:rPr>
        <w:t xml:space="preserve">1 </w:t>
      </w:r>
      <w:r>
        <w:rPr>
          <w:rFonts w:hAnsi="宋体"/>
          <w:bCs w:val="0"/>
          <w:color w:val="auto"/>
          <w:sz w:val="24"/>
          <w:szCs w:val="24"/>
        </w:rPr>
        <w:t>范围</w:t>
      </w:r>
      <w:bookmarkEnd w:id="34"/>
    </w:p>
    <w:p>
      <w:pPr>
        <w:pStyle w:val="8"/>
        <w:adjustRightInd w:val="0"/>
        <w:snapToGrid w:val="0"/>
        <w:spacing w:line="312" w:lineRule="auto"/>
        <w:ind w:firstLine="482"/>
        <w:rPr>
          <w:color w:val="auto"/>
        </w:rPr>
      </w:pPr>
      <w:r>
        <w:rPr>
          <w:rFonts w:hAnsi="宋体"/>
          <w:color w:val="auto"/>
        </w:rPr>
        <w:t>本规程适用于</w:t>
      </w:r>
      <w:r>
        <w:rPr>
          <w:rFonts w:hint="eastAsia"/>
          <w:color w:val="auto"/>
        </w:rPr>
        <w:t>最大工作压力不超过50kPa，最大流量不超过100m</w:t>
      </w:r>
      <w:r>
        <w:rPr>
          <w:rFonts w:hint="eastAsia"/>
          <w:color w:val="auto"/>
          <w:vertAlign w:val="superscript"/>
        </w:rPr>
        <w:t>3</w:t>
      </w:r>
      <w:r>
        <w:rPr>
          <w:rFonts w:hint="eastAsia"/>
          <w:color w:val="auto"/>
        </w:rPr>
        <w:t>/h，并</w:t>
      </w:r>
      <w:r>
        <w:rPr>
          <w:rFonts w:hint="eastAsia" w:hAnsi="宋体"/>
          <w:color w:val="auto"/>
        </w:rPr>
        <w:t>以时间差法为测量原理的封闭管道用</w:t>
      </w:r>
      <w:r>
        <w:rPr>
          <w:rFonts w:hAnsi="宋体"/>
          <w:color w:val="auto"/>
        </w:rPr>
        <w:t>超声波燃气表</w:t>
      </w:r>
      <w:r>
        <w:rPr>
          <w:rFonts w:hint="eastAsia" w:hAnsi="宋体"/>
          <w:color w:val="auto"/>
        </w:rPr>
        <w:t>（以下简称燃气表）</w:t>
      </w:r>
      <w:r>
        <w:rPr>
          <w:rFonts w:hAnsi="宋体"/>
          <w:color w:val="auto"/>
        </w:rPr>
        <w:t>的</w:t>
      </w:r>
      <w:r>
        <w:rPr>
          <w:color w:val="auto"/>
        </w:rPr>
        <w:t>首次检定、后续检定和使用中检查</w:t>
      </w:r>
      <w:r>
        <w:rPr>
          <w:rFonts w:hAnsi="宋体"/>
          <w:color w:val="auto"/>
        </w:rPr>
        <w:t>。</w:t>
      </w:r>
    </w:p>
    <w:p>
      <w:pPr>
        <w:pStyle w:val="4"/>
        <w:spacing w:line="240" w:lineRule="auto"/>
        <w:rPr>
          <w:rFonts w:hint="eastAsia"/>
          <w:bCs w:val="0"/>
          <w:color w:val="auto"/>
          <w:sz w:val="24"/>
          <w:szCs w:val="24"/>
        </w:rPr>
      </w:pPr>
      <w:bookmarkStart w:id="35" w:name="_Toc468349704"/>
      <w:r>
        <w:rPr>
          <w:bCs w:val="0"/>
          <w:color w:val="auto"/>
          <w:sz w:val="24"/>
          <w:szCs w:val="24"/>
        </w:rPr>
        <w:t xml:space="preserve">2 </w:t>
      </w:r>
      <w:r>
        <w:rPr>
          <w:rFonts w:hAnsi="宋体"/>
          <w:bCs w:val="0"/>
          <w:color w:val="auto"/>
          <w:sz w:val="24"/>
          <w:szCs w:val="24"/>
        </w:rPr>
        <w:t>引用文件</w:t>
      </w:r>
      <w:bookmarkEnd w:id="35"/>
    </w:p>
    <w:p>
      <w:pPr>
        <w:pStyle w:val="8"/>
        <w:adjustRightInd w:val="0"/>
        <w:snapToGrid w:val="0"/>
        <w:spacing w:line="312" w:lineRule="auto"/>
        <w:ind w:firstLine="482"/>
        <w:rPr>
          <w:rFonts w:hint="eastAsia" w:hAnsi="宋体"/>
          <w:color w:val="auto"/>
        </w:rPr>
      </w:pPr>
      <w:r>
        <w:rPr>
          <w:rFonts w:hint="eastAsia" w:hAnsi="宋体"/>
          <w:color w:val="auto"/>
        </w:rPr>
        <w:t>JJG 1030-2007 超声流量计</w:t>
      </w:r>
    </w:p>
    <w:p>
      <w:pPr>
        <w:pStyle w:val="8"/>
        <w:adjustRightInd w:val="0"/>
        <w:snapToGrid w:val="0"/>
        <w:spacing w:line="312" w:lineRule="auto"/>
        <w:ind w:firstLine="482"/>
        <w:rPr>
          <w:rFonts w:hint="eastAsia" w:hAnsi="宋体"/>
          <w:color w:val="auto"/>
        </w:rPr>
      </w:pPr>
      <w:r>
        <w:rPr>
          <w:rFonts w:hAnsi="宋体"/>
          <w:color w:val="auto"/>
        </w:rPr>
        <w:t>JJG 577-2012 膜式燃气表</w:t>
      </w:r>
    </w:p>
    <w:p>
      <w:pPr>
        <w:pStyle w:val="8"/>
        <w:adjustRightInd w:val="0"/>
        <w:snapToGrid w:val="0"/>
        <w:spacing w:line="312" w:lineRule="auto"/>
        <w:ind w:firstLine="482"/>
        <w:rPr>
          <w:rFonts w:hint="eastAsia" w:hAnsi="宋体"/>
          <w:color w:val="auto"/>
        </w:rPr>
      </w:pPr>
      <w:r>
        <w:rPr>
          <w:rFonts w:hAnsi="宋体"/>
          <w:color w:val="auto"/>
        </w:rPr>
        <w:t>JJF 1001 通用计量术语及定义</w:t>
      </w:r>
    </w:p>
    <w:p>
      <w:pPr>
        <w:pStyle w:val="8"/>
        <w:adjustRightInd w:val="0"/>
        <w:snapToGrid w:val="0"/>
        <w:spacing w:line="312" w:lineRule="auto"/>
        <w:ind w:firstLine="482"/>
        <w:rPr>
          <w:rFonts w:hint="eastAsia"/>
          <w:color w:val="auto"/>
        </w:rPr>
      </w:pPr>
      <w:r>
        <w:rPr>
          <w:rFonts w:hint="eastAsia"/>
          <w:color w:val="auto"/>
        </w:rPr>
        <w:t>JJF 1004 流量计量名词术语及定义</w:t>
      </w:r>
    </w:p>
    <w:p>
      <w:pPr>
        <w:pStyle w:val="8"/>
        <w:adjustRightInd w:val="0"/>
        <w:snapToGrid w:val="0"/>
        <w:spacing w:line="312" w:lineRule="auto"/>
        <w:ind w:firstLine="482"/>
        <w:rPr>
          <w:rFonts w:hAnsi="宋体"/>
          <w:color w:val="auto"/>
        </w:rPr>
      </w:pPr>
      <w:r>
        <w:rPr>
          <w:rFonts w:hAnsi="宋体"/>
          <w:color w:val="auto"/>
        </w:rPr>
        <w:t>GB/T 6968  膜式燃气表</w:t>
      </w:r>
    </w:p>
    <w:p>
      <w:pPr>
        <w:pStyle w:val="8"/>
        <w:adjustRightInd w:val="0"/>
        <w:snapToGrid w:val="0"/>
        <w:spacing w:line="312" w:lineRule="auto"/>
        <w:ind w:firstLine="482"/>
        <w:rPr>
          <w:rFonts w:hint="eastAsia" w:hAnsi="宋体"/>
          <w:color w:val="auto"/>
        </w:rPr>
      </w:pPr>
      <w:r>
        <w:rPr>
          <w:rFonts w:hint="eastAsia" w:hAnsi="宋体"/>
          <w:color w:val="auto"/>
        </w:rPr>
        <w:t>GB/T</w:t>
      </w:r>
      <w:r>
        <w:rPr>
          <w:rFonts w:hAnsi="宋体"/>
          <w:color w:val="auto"/>
        </w:rPr>
        <w:t xml:space="preserve"> 32201-2015 </w:t>
      </w:r>
      <w:r>
        <w:rPr>
          <w:rFonts w:hint="eastAsia" w:hAnsi="宋体"/>
          <w:color w:val="auto"/>
        </w:rPr>
        <w:t>气体流量计</w:t>
      </w:r>
    </w:p>
    <w:p>
      <w:pPr>
        <w:pStyle w:val="8"/>
        <w:adjustRightInd w:val="0"/>
        <w:snapToGrid w:val="0"/>
        <w:spacing w:line="312" w:lineRule="auto"/>
        <w:ind w:firstLine="482"/>
        <w:rPr>
          <w:rFonts w:hint="eastAsia" w:hAnsi="宋体"/>
          <w:color w:val="auto"/>
        </w:rPr>
      </w:pPr>
      <w:r>
        <w:rPr>
          <w:rFonts w:hint="eastAsia" w:hAnsi="宋体"/>
          <w:color w:val="auto"/>
        </w:rPr>
        <w:t>JB/T 12958-2016 家用超声波燃气表</w:t>
      </w:r>
    </w:p>
    <w:p>
      <w:pPr>
        <w:pStyle w:val="8"/>
        <w:adjustRightInd w:val="0"/>
        <w:snapToGrid w:val="0"/>
        <w:spacing w:line="312" w:lineRule="auto"/>
        <w:ind w:firstLine="482"/>
        <w:rPr>
          <w:rFonts w:hAnsi="宋体"/>
          <w:color w:val="auto"/>
        </w:rPr>
      </w:pPr>
      <w:r>
        <w:rPr>
          <w:color w:val="auto"/>
        </w:rPr>
        <w:t>EN14236</w:t>
      </w:r>
      <w:r>
        <w:rPr>
          <w:rFonts w:hAnsi="宋体"/>
          <w:color w:val="auto"/>
        </w:rPr>
        <w:t>：</w:t>
      </w:r>
      <w:r>
        <w:rPr>
          <w:color w:val="auto"/>
        </w:rPr>
        <w:t>2007</w:t>
      </w:r>
      <w:r>
        <w:rPr>
          <w:rFonts w:hAnsi="宋体"/>
          <w:color w:val="auto"/>
        </w:rPr>
        <w:t xml:space="preserve"> Ultrasonic domestic gas meters</w:t>
      </w:r>
      <w:r>
        <w:rPr>
          <w:rFonts w:hint="eastAsia"/>
          <w:color w:val="auto"/>
        </w:rPr>
        <w:t>（户用超声波燃气表</w:t>
      </w:r>
      <w:r>
        <w:rPr>
          <w:rFonts w:hint="eastAsia" w:hAnsi="宋体"/>
          <w:color w:val="auto"/>
        </w:rPr>
        <w:t>）</w:t>
      </w:r>
    </w:p>
    <w:p>
      <w:pPr>
        <w:pStyle w:val="8"/>
        <w:adjustRightInd w:val="0"/>
        <w:snapToGrid w:val="0"/>
        <w:spacing w:line="312" w:lineRule="auto"/>
        <w:ind w:firstLine="482"/>
        <w:rPr>
          <w:rFonts w:hint="eastAsia" w:hAnsi="宋体"/>
          <w:color w:val="auto"/>
        </w:rPr>
      </w:pPr>
      <w:r>
        <w:rPr>
          <w:rFonts w:hint="eastAsia"/>
          <w:color w:val="auto"/>
        </w:rPr>
        <w:t>OIML R137-1&amp;2：2012 Gas Meter</w:t>
      </w:r>
      <w:r>
        <w:rPr>
          <w:color w:val="auto"/>
        </w:rPr>
        <w:t>s</w:t>
      </w:r>
      <w:r>
        <w:rPr>
          <w:rFonts w:hint="eastAsia"/>
          <w:color w:val="auto"/>
        </w:rPr>
        <w:t>（气体流量计）</w:t>
      </w:r>
    </w:p>
    <w:p>
      <w:pPr>
        <w:pStyle w:val="8"/>
        <w:adjustRightInd w:val="0"/>
        <w:snapToGrid w:val="0"/>
        <w:spacing w:line="312" w:lineRule="auto"/>
        <w:ind w:firstLine="482"/>
        <w:rPr>
          <w:rFonts w:hint="eastAsia"/>
          <w:color w:val="auto"/>
        </w:rPr>
      </w:pPr>
      <w:r>
        <w:rPr>
          <w:rFonts w:hint="eastAsia"/>
          <w:color w:val="auto"/>
        </w:rPr>
        <w:t>凡是注日期的引用文件，仅注日期的版本适用本规程；凡是不注日期的引用文件，其最新版本（包括所有的修改单）适用于本规程。</w:t>
      </w:r>
    </w:p>
    <w:p>
      <w:pPr>
        <w:pStyle w:val="4"/>
        <w:spacing w:line="240" w:lineRule="auto"/>
        <w:rPr>
          <w:rFonts w:hint="eastAsia"/>
          <w:bCs w:val="0"/>
          <w:color w:val="auto"/>
          <w:sz w:val="24"/>
          <w:szCs w:val="24"/>
        </w:rPr>
      </w:pPr>
      <w:bookmarkStart w:id="36" w:name="_Toc468349705"/>
      <w:r>
        <w:rPr>
          <w:bCs w:val="0"/>
          <w:color w:val="auto"/>
          <w:sz w:val="24"/>
          <w:szCs w:val="24"/>
        </w:rPr>
        <w:t xml:space="preserve">3 </w:t>
      </w:r>
      <w:r>
        <w:rPr>
          <w:rFonts w:hAnsi="宋体"/>
          <w:bCs w:val="0"/>
          <w:color w:val="auto"/>
          <w:sz w:val="24"/>
          <w:szCs w:val="24"/>
        </w:rPr>
        <w:t>术语和计量单位</w:t>
      </w:r>
      <w:bookmarkEnd w:id="36"/>
    </w:p>
    <w:p>
      <w:pPr>
        <w:pStyle w:val="8"/>
        <w:adjustRightInd w:val="0"/>
        <w:snapToGrid w:val="0"/>
        <w:spacing w:line="312" w:lineRule="auto"/>
        <w:rPr>
          <w:rFonts w:hAnsi="宋体"/>
          <w:color w:val="auto"/>
        </w:rPr>
      </w:pPr>
      <w:r>
        <w:rPr>
          <w:rFonts w:hAnsi="宋体"/>
          <w:color w:val="auto"/>
        </w:rPr>
        <w:t>3.1 术语</w:t>
      </w:r>
    </w:p>
    <w:p>
      <w:pPr>
        <w:pStyle w:val="8"/>
        <w:adjustRightInd w:val="0"/>
        <w:snapToGrid w:val="0"/>
        <w:spacing w:line="312" w:lineRule="auto"/>
        <w:rPr>
          <w:rFonts w:hint="eastAsia" w:hAnsi="宋体"/>
          <w:color w:val="auto"/>
        </w:rPr>
      </w:pPr>
      <w:bookmarkStart w:id="37" w:name="_Toc311448316"/>
      <w:bookmarkEnd w:id="37"/>
      <w:bookmarkStart w:id="38" w:name="_Toc313024444"/>
      <w:bookmarkEnd w:id="38"/>
      <w:bookmarkStart w:id="39" w:name="_Toc313626202"/>
      <w:bookmarkEnd w:id="39"/>
      <w:bookmarkStart w:id="40" w:name="_Toc313626276"/>
      <w:bookmarkEnd w:id="40"/>
      <w:bookmarkStart w:id="41" w:name="_Toc313626360"/>
      <w:bookmarkEnd w:id="41"/>
      <w:bookmarkStart w:id="42" w:name="_Toc324245941"/>
      <w:bookmarkEnd w:id="42"/>
      <w:bookmarkStart w:id="43" w:name="_Toc324246060"/>
      <w:bookmarkEnd w:id="43"/>
      <w:bookmarkStart w:id="44" w:name="_Toc324246178"/>
      <w:bookmarkEnd w:id="44"/>
      <w:bookmarkStart w:id="45" w:name="_Toc324246289"/>
      <w:bookmarkEnd w:id="45"/>
      <w:bookmarkStart w:id="46" w:name="_Toc324946964"/>
      <w:bookmarkEnd w:id="46"/>
      <w:r>
        <w:rPr>
          <w:rFonts w:hAnsi="宋体"/>
          <w:color w:val="auto"/>
        </w:rPr>
        <w:t>3.1.1 最大流量</w:t>
      </w:r>
      <w:r>
        <w:rPr>
          <w:rFonts w:hAnsi="宋体"/>
          <w:i/>
          <w:color w:val="auto"/>
        </w:rPr>
        <w:t>q</w:t>
      </w:r>
      <w:r>
        <w:rPr>
          <w:rFonts w:hAnsi="宋体"/>
          <w:color w:val="auto"/>
          <w:vertAlign w:val="subscript"/>
        </w:rPr>
        <w:t>max</w:t>
      </w:r>
      <w:r>
        <w:rPr>
          <w:rFonts w:hAnsi="宋体"/>
          <w:color w:val="auto"/>
        </w:rPr>
        <w:t xml:space="preserve">   maximum flow rate</w:t>
      </w:r>
    </w:p>
    <w:p>
      <w:pPr>
        <w:pStyle w:val="8"/>
        <w:adjustRightInd w:val="0"/>
        <w:snapToGrid w:val="0"/>
        <w:spacing w:line="312" w:lineRule="auto"/>
        <w:ind w:firstLine="482"/>
        <w:rPr>
          <w:rFonts w:hAnsi="宋体"/>
          <w:color w:val="auto"/>
        </w:rPr>
      </w:pPr>
      <w:r>
        <w:rPr>
          <w:rFonts w:hAnsi="宋体"/>
          <w:color w:val="auto"/>
        </w:rPr>
        <w:t>燃气表满足计量性能要求的上限流量。</w:t>
      </w:r>
    </w:p>
    <w:p>
      <w:pPr>
        <w:pStyle w:val="8"/>
        <w:adjustRightInd w:val="0"/>
        <w:snapToGrid w:val="0"/>
        <w:spacing w:line="312" w:lineRule="auto"/>
        <w:rPr>
          <w:rFonts w:hint="eastAsia" w:hAnsi="宋体"/>
          <w:color w:val="auto"/>
        </w:rPr>
      </w:pPr>
      <w:bookmarkStart w:id="47" w:name="_Toc311448317"/>
      <w:bookmarkEnd w:id="47"/>
      <w:bookmarkStart w:id="48" w:name="_Toc313024445"/>
      <w:bookmarkEnd w:id="48"/>
      <w:bookmarkStart w:id="49" w:name="_Toc313626203"/>
      <w:bookmarkEnd w:id="49"/>
      <w:bookmarkStart w:id="50" w:name="_Toc313626277"/>
      <w:bookmarkEnd w:id="50"/>
      <w:bookmarkStart w:id="51" w:name="_Toc313626361"/>
      <w:bookmarkEnd w:id="51"/>
      <w:bookmarkStart w:id="52" w:name="_Toc324245942"/>
      <w:bookmarkEnd w:id="52"/>
      <w:bookmarkStart w:id="53" w:name="_Toc324246061"/>
      <w:bookmarkEnd w:id="53"/>
      <w:bookmarkStart w:id="54" w:name="_Toc324246179"/>
      <w:bookmarkEnd w:id="54"/>
      <w:bookmarkStart w:id="55" w:name="_Toc324246290"/>
      <w:bookmarkEnd w:id="55"/>
      <w:bookmarkStart w:id="56" w:name="_Toc324946965"/>
      <w:bookmarkEnd w:id="56"/>
      <w:r>
        <w:rPr>
          <w:rFonts w:hAnsi="宋体"/>
          <w:color w:val="auto"/>
        </w:rPr>
        <w:t>3.1.2 最小流量</w:t>
      </w:r>
      <w:r>
        <w:rPr>
          <w:rFonts w:hAnsi="宋体"/>
          <w:i/>
          <w:color w:val="auto"/>
        </w:rPr>
        <w:t>q</w:t>
      </w:r>
      <w:r>
        <w:rPr>
          <w:rFonts w:hAnsi="宋体"/>
          <w:color w:val="auto"/>
          <w:vertAlign w:val="subscript"/>
        </w:rPr>
        <w:t>min</w:t>
      </w:r>
      <w:r>
        <w:rPr>
          <w:rFonts w:hAnsi="宋体"/>
          <w:color w:val="auto"/>
        </w:rPr>
        <w:t xml:space="preserve">  minimum flow rate</w:t>
      </w:r>
    </w:p>
    <w:p>
      <w:pPr>
        <w:pStyle w:val="8"/>
        <w:adjustRightInd w:val="0"/>
        <w:snapToGrid w:val="0"/>
        <w:spacing w:line="312" w:lineRule="auto"/>
        <w:ind w:firstLine="482"/>
        <w:rPr>
          <w:rFonts w:hAnsi="宋体"/>
          <w:color w:val="auto"/>
        </w:rPr>
      </w:pPr>
      <w:r>
        <w:rPr>
          <w:rFonts w:hAnsi="宋体"/>
          <w:color w:val="auto"/>
        </w:rPr>
        <w:t>燃气表满足计量性能要求的下限流量。</w:t>
      </w:r>
    </w:p>
    <w:p>
      <w:pPr>
        <w:pStyle w:val="8"/>
        <w:adjustRightInd w:val="0"/>
        <w:snapToGrid w:val="0"/>
        <w:spacing w:line="312" w:lineRule="auto"/>
        <w:rPr>
          <w:rFonts w:hint="eastAsia" w:hAnsi="宋体"/>
          <w:color w:val="auto"/>
        </w:rPr>
      </w:pPr>
      <w:bookmarkStart w:id="57" w:name="_Toc324246291"/>
      <w:bookmarkEnd w:id="57"/>
      <w:bookmarkStart w:id="58" w:name="_Toc324946966"/>
      <w:bookmarkEnd w:id="58"/>
      <w:bookmarkStart w:id="59" w:name="_Toc311448318"/>
      <w:bookmarkEnd w:id="59"/>
      <w:bookmarkStart w:id="60" w:name="_Toc313024446"/>
      <w:bookmarkEnd w:id="60"/>
      <w:bookmarkStart w:id="61" w:name="_Toc313626204"/>
      <w:bookmarkEnd w:id="61"/>
      <w:bookmarkStart w:id="62" w:name="_Toc313626278"/>
      <w:bookmarkEnd w:id="62"/>
      <w:bookmarkStart w:id="63" w:name="_Toc313626362"/>
      <w:bookmarkEnd w:id="63"/>
      <w:bookmarkStart w:id="64" w:name="_Toc324245943"/>
      <w:bookmarkEnd w:id="64"/>
      <w:bookmarkStart w:id="65" w:name="_Toc324246062"/>
      <w:bookmarkEnd w:id="65"/>
      <w:bookmarkStart w:id="66" w:name="_Toc324246180"/>
      <w:bookmarkEnd w:id="66"/>
      <w:r>
        <w:rPr>
          <w:rFonts w:hAnsi="宋体"/>
          <w:color w:val="auto"/>
        </w:rPr>
        <w:t>3.1.3 分界流量</w:t>
      </w:r>
      <w:r>
        <w:rPr>
          <w:rFonts w:hAnsi="宋体"/>
          <w:i/>
          <w:color w:val="auto"/>
        </w:rPr>
        <w:t>q</w:t>
      </w:r>
      <w:r>
        <w:rPr>
          <w:rFonts w:hAnsi="宋体"/>
          <w:color w:val="auto"/>
          <w:vertAlign w:val="subscript"/>
        </w:rPr>
        <w:t>t</w:t>
      </w:r>
      <w:r>
        <w:rPr>
          <w:rFonts w:hAnsi="宋体"/>
          <w:color w:val="auto"/>
        </w:rPr>
        <w:t xml:space="preserve">  transitional flow rate</w:t>
      </w:r>
    </w:p>
    <w:p>
      <w:pPr>
        <w:pStyle w:val="8"/>
        <w:adjustRightInd w:val="0"/>
        <w:snapToGrid w:val="0"/>
        <w:spacing w:line="312" w:lineRule="auto"/>
        <w:ind w:firstLine="482"/>
        <w:rPr>
          <w:rFonts w:hAnsi="宋体"/>
          <w:color w:val="auto"/>
        </w:rPr>
      </w:pPr>
      <w:r>
        <w:rPr>
          <w:rFonts w:hAnsi="宋体"/>
          <w:color w:val="auto"/>
        </w:rPr>
        <w:t>介于最大流量和最小流量之间、把燃气表流量范围分为“高区”和“低区”的流量，高区和低区</w:t>
      </w:r>
      <w:r>
        <w:rPr>
          <w:rFonts w:hint="eastAsia" w:hAnsi="宋体"/>
          <w:color w:val="auto"/>
        </w:rPr>
        <w:t>各</w:t>
      </w:r>
      <w:r>
        <w:rPr>
          <w:rFonts w:hAnsi="宋体"/>
          <w:color w:val="auto"/>
        </w:rPr>
        <w:t>有</w:t>
      </w:r>
      <w:r>
        <w:rPr>
          <w:rFonts w:hint="eastAsia" w:hAnsi="宋体"/>
          <w:color w:val="auto"/>
        </w:rPr>
        <w:t>相应</w:t>
      </w:r>
      <w:r>
        <w:rPr>
          <w:rFonts w:hAnsi="宋体"/>
          <w:color w:val="auto"/>
        </w:rPr>
        <w:t>的最大允许误差</w:t>
      </w:r>
      <w:r>
        <w:rPr>
          <w:rFonts w:hint="eastAsia" w:hAnsi="宋体"/>
          <w:color w:val="auto"/>
        </w:rPr>
        <w:t>。一般情况下，</w:t>
      </w:r>
      <w:r>
        <w:rPr>
          <w:rFonts w:hAnsi="宋体"/>
          <w:i/>
          <w:color w:val="auto"/>
        </w:rPr>
        <w:t>q</w:t>
      </w:r>
      <w:r>
        <w:rPr>
          <w:rFonts w:hAnsi="宋体"/>
          <w:color w:val="auto"/>
          <w:vertAlign w:val="subscript"/>
        </w:rPr>
        <w:t>t</w:t>
      </w:r>
      <w:r>
        <w:rPr>
          <w:rFonts w:hint="eastAsia" w:hAnsi="宋体"/>
          <w:color w:val="auto"/>
        </w:rPr>
        <w:t>=0.1</w:t>
      </w:r>
      <w:r>
        <w:rPr>
          <w:rFonts w:hAnsi="宋体"/>
          <w:i/>
          <w:color w:val="auto"/>
        </w:rPr>
        <w:t>q</w:t>
      </w:r>
      <w:r>
        <w:rPr>
          <w:rFonts w:hAnsi="宋体"/>
          <w:color w:val="auto"/>
          <w:vertAlign w:val="subscript"/>
        </w:rPr>
        <w:t>max</w:t>
      </w:r>
      <w:r>
        <w:rPr>
          <w:rFonts w:hAnsi="宋体"/>
          <w:color w:val="auto"/>
        </w:rPr>
        <w:t>。</w:t>
      </w:r>
    </w:p>
    <w:p>
      <w:pPr>
        <w:pStyle w:val="8"/>
        <w:adjustRightInd w:val="0"/>
        <w:snapToGrid w:val="0"/>
        <w:spacing w:line="312" w:lineRule="auto"/>
        <w:rPr>
          <w:rFonts w:hint="eastAsia" w:hAnsi="宋体"/>
          <w:color w:val="auto"/>
        </w:rPr>
      </w:pPr>
      <w:bookmarkStart w:id="67" w:name="_Toc324246063"/>
      <w:bookmarkEnd w:id="67"/>
      <w:bookmarkStart w:id="68" w:name="_Toc324245944"/>
      <w:bookmarkEnd w:id="68"/>
      <w:bookmarkStart w:id="69" w:name="_Toc324246181"/>
      <w:bookmarkEnd w:id="69"/>
      <w:bookmarkStart w:id="70" w:name="_Toc313024447"/>
      <w:bookmarkEnd w:id="70"/>
      <w:bookmarkStart w:id="71" w:name="_Toc313626363"/>
      <w:bookmarkEnd w:id="71"/>
      <w:bookmarkStart w:id="72" w:name="_Toc313626205"/>
      <w:bookmarkEnd w:id="72"/>
      <w:bookmarkStart w:id="73" w:name="_Toc313626279"/>
      <w:bookmarkEnd w:id="73"/>
      <w:bookmarkStart w:id="74" w:name="_Toc324946967"/>
      <w:bookmarkEnd w:id="74"/>
      <w:bookmarkStart w:id="75" w:name="_Toc324246292"/>
      <w:bookmarkEnd w:id="75"/>
      <w:bookmarkStart w:id="76" w:name="_Toc311448319"/>
      <w:bookmarkEnd w:id="76"/>
      <w:r>
        <w:rPr>
          <w:rFonts w:hAnsi="宋体"/>
          <w:color w:val="auto"/>
        </w:rPr>
        <w:t>3.1.4 流量范围   flow rate range</w:t>
      </w:r>
    </w:p>
    <w:p>
      <w:pPr>
        <w:pStyle w:val="8"/>
        <w:adjustRightInd w:val="0"/>
        <w:snapToGrid w:val="0"/>
        <w:spacing w:line="312" w:lineRule="auto"/>
        <w:ind w:firstLine="482"/>
        <w:rPr>
          <w:rFonts w:hAnsi="宋体"/>
          <w:color w:val="auto"/>
        </w:rPr>
      </w:pPr>
      <w:r>
        <w:rPr>
          <w:rFonts w:hAnsi="宋体"/>
          <w:color w:val="auto"/>
        </w:rPr>
        <w:t>由燃气表最大流量和最小流量所限定的范围。</w:t>
      </w:r>
      <w:bookmarkStart w:id="77" w:name="_Toc311448320"/>
      <w:bookmarkEnd w:id="77"/>
      <w:bookmarkStart w:id="78" w:name="_Toc313024448"/>
      <w:bookmarkEnd w:id="78"/>
      <w:bookmarkStart w:id="79" w:name="_Toc313626206"/>
      <w:bookmarkEnd w:id="79"/>
      <w:bookmarkStart w:id="80" w:name="_Toc313626280"/>
      <w:bookmarkEnd w:id="80"/>
      <w:bookmarkStart w:id="81" w:name="_Toc313626364"/>
      <w:bookmarkEnd w:id="81"/>
      <w:bookmarkStart w:id="82" w:name="_Toc324245945"/>
      <w:bookmarkEnd w:id="82"/>
      <w:bookmarkStart w:id="83" w:name="_Toc324246064"/>
      <w:bookmarkEnd w:id="83"/>
      <w:bookmarkStart w:id="84" w:name="_Toc324246182"/>
      <w:bookmarkEnd w:id="84"/>
      <w:bookmarkStart w:id="85" w:name="_Toc324246293"/>
      <w:bookmarkEnd w:id="85"/>
      <w:bookmarkStart w:id="86" w:name="_Toc324946968"/>
      <w:bookmarkEnd w:id="86"/>
    </w:p>
    <w:p>
      <w:pPr>
        <w:pStyle w:val="8"/>
        <w:adjustRightInd w:val="0"/>
        <w:snapToGrid w:val="0"/>
        <w:spacing w:line="312" w:lineRule="auto"/>
        <w:rPr>
          <w:rFonts w:hAnsi="宋体"/>
          <w:color w:val="auto"/>
        </w:rPr>
      </w:pPr>
      <w:bookmarkStart w:id="87" w:name="_Toc311448321"/>
      <w:bookmarkEnd w:id="87"/>
      <w:bookmarkStart w:id="88" w:name="_Toc313024449"/>
      <w:bookmarkEnd w:id="88"/>
      <w:bookmarkStart w:id="89" w:name="_Toc313626207"/>
      <w:bookmarkEnd w:id="89"/>
      <w:bookmarkStart w:id="90" w:name="_Toc313626281"/>
      <w:bookmarkEnd w:id="90"/>
      <w:bookmarkStart w:id="91" w:name="_Toc313626365"/>
      <w:bookmarkEnd w:id="91"/>
      <w:bookmarkStart w:id="92" w:name="_Toc324246183"/>
      <w:bookmarkEnd w:id="92"/>
      <w:bookmarkStart w:id="93" w:name="_Toc324245946"/>
      <w:bookmarkEnd w:id="93"/>
      <w:bookmarkStart w:id="94" w:name="_Toc324246065"/>
      <w:bookmarkEnd w:id="94"/>
      <w:bookmarkStart w:id="95" w:name="_Toc324246294"/>
      <w:bookmarkEnd w:id="95"/>
      <w:bookmarkStart w:id="96" w:name="_Toc324946969"/>
      <w:bookmarkEnd w:id="96"/>
      <w:bookmarkStart w:id="97" w:name="_Toc311448322"/>
      <w:bookmarkEnd w:id="97"/>
      <w:bookmarkStart w:id="98" w:name="_Toc313024450"/>
      <w:bookmarkEnd w:id="98"/>
      <w:bookmarkStart w:id="99" w:name="_Toc313626208"/>
      <w:bookmarkEnd w:id="99"/>
      <w:bookmarkStart w:id="100" w:name="_Toc313626282"/>
      <w:bookmarkEnd w:id="100"/>
      <w:bookmarkStart w:id="101" w:name="_Toc313626366"/>
      <w:bookmarkEnd w:id="101"/>
      <w:bookmarkStart w:id="102" w:name="_Toc324245947"/>
      <w:bookmarkEnd w:id="102"/>
      <w:bookmarkStart w:id="103" w:name="_Toc324246066"/>
      <w:bookmarkEnd w:id="103"/>
      <w:bookmarkStart w:id="104" w:name="_Toc324246184"/>
      <w:bookmarkEnd w:id="104"/>
      <w:bookmarkStart w:id="105" w:name="_Toc324246295"/>
      <w:bookmarkEnd w:id="105"/>
      <w:bookmarkStart w:id="106" w:name="_Toc324946970"/>
      <w:bookmarkEnd w:id="106"/>
      <w:bookmarkStart w:id="107" w:name="_Toc311448323"/>
      <w:bookmarkEnd w:id="107"/>
      <w:bookmarkStart w:id="108" w:name="_Toc313024451"/>
      <w:bookmarkEnd w:id="108"/>
      <w:bookmarkStart w:id="109" w:name="_Toc313626209"/>
      <w:bookmarkEnd w:id="109"/>
      <w:bookmarkStart w:id="110" w:name="_Toc313626283"/>
      <w:bookmarkEnd w:id="110"/>
      <w:bookmarkStart w:id="111" w:name="_Toc313626367"/>
      <w:bookmarkEnd w:id="111"/>
      <w:bookmarkStart w:id="112" w:name="_Toc324245948"/>
      <w:bookmarkEnd w:id="112"/>
      <w:bookmarkStart w:id="113" w:name="_Toc324246067"/>
      <w:bookmarkEnd w:id="113"/>
      <w:bookmarkStart w:id="114" w:name="_Toc324246185"/>
      <w:bookmarkEnd w:id="114"/>
      <w:bookmarkStart w:id="115" w:name="_Toc324246296"/>
      <w:bookmarkEnd w:id="115"/>
      <w:bookmarkStart w:id="116" w:name="_Toc324946971"/>
      <w:bookmarkEnd w:id="116"/>
      <w:r>
        <w:rPr>
          <w:rFonts w:hAnsi="宋体"/>
          <w:color w:val="auto"/>
        </w:rPr>
        <w:t>3.1.</w:t>
      </w:r>
      <w:r>
        <w:rPr>
          <w:rFonts w:hint="eastAsia" w:hAnsi="宋体"/>
          <w:color w:val="auto"/>
        </w:rPr>
        <w:t>5</w:t>
      </w:r>
      <w:r>
        <w:rPr>
          <w:rFonts w:hAnsi="宋体"/>
          <w:color w:val="auto"/>
        </w:rPr>
        <w:t xml:space="preserve"> 最大工作压力</w:t>
      </w:r>
      <w:r>
        <w:rPr>
          <w:rFonts w:hAnsi="宋体"/>
          <w:i/>
          <w:color w:val="auto"/>
        </w:rPr>
        <w:t>p</w:t>
      </w:r>
      <w:r>
        <w:rPr>
          <w:rFonts w:hAnsi="宋体"/>
          <w:color w:val="auto"/>
          <w:vertAlign w:val="subscript"/>
        </w:rPr>
        <w:t>max</w:t>
      </w:r>
      <w:r>
        <w:rPr>
          <w:rFonts w:hAnsi="宋体"/>
          <w:color w:val="auto"/>
        </w:rPr>
        <w:t xml:space="preserve">  maximum working pressure</w:t>
      </w:r>
    </w:p>
    <w:p>
      <w:pPr>
        <w:pStyle w:val="8"/>
        <w:adjustRightInd w:val="0"/>
        <w:snapToGrid w:val="0"/>
        <w:spacing w:line="312" w:lineRule="auto"/>
        <w:ind w:firstLine="482"/>
        <w:rPr>
          <w:rFonts w:hAnsi="宋体"/>
          <w:color w:val="auto"/>
        </w:rPr>
      </w:pPr>
      <w:r>
        <w:rPr>
          <w:rFonts w:hint="eastAsia" w:hAnsi="宋体"/>
          <w:color w:val="auto"/>
        </w:rPr>
        <w:t>燃气表正常工作所能承受的</w:t>
      </w:r>
      <w:r>
        <w:rPr>
          <w:rFonts w:hAnsi="宋体"/>
          <w:color w:val="auto"/>
        </w:rPr>
        <w:t>压力上限值。</w:t>
      </w:r>
    </w:p>
    <w:p>
      <w:pPr>
        <w:pStyle w:val="8"/>
        <w:adjustRightInd w:val="0"/>
        <w:snapToGrid w:val="0"/>
        <w:spacing w:line="312" w:lineRule="auto"/>
        <w:rPr>
          <w:rFonts w:hint="eastAsia" w:hAnsi="宋体"/>
          <w:color w:val="auto"/>
        </w:rPr>
      </w:pPr>
      <w:bookmarkStart w:id="117" w:name="_Toc311448324"/>
      <w:bookmarkEnd w:id="117"/>
      <w:bookmarkStart w:id="118" w:name="_Toc313024452"/>
      <w:bookmarkEnd w:id="118"/>
      <w:bookmarkStart w:id="119" w:name="_Toc313626210"/>
      <w:bookmarkEnd w:id="119"/>
      <w:bookmarkStart w:id="120" w:name="_Toc313626284"/>
      <w:bookmarkEnd w:id="120"/>
      <w:bookmarkStart w:id="121" w:name="_Toc313626368"/>
      <w:bookmarkEnd w:id="121"/>
      <w:bookmarkStart w:id="122" w:name="_Toc324245949"/>
      <w:bookmarkEnd w:id="122"/>
      <w:bookmarkStart w:id="123" w:name="_Toc324246068"/>
      <w:bookmarkEnd w:id="123"/>
      <w:bookmarkStart w:id="124" w:name="_Toc324246186"/>
      <w:bookmarkEnd w:id="124"/>
      <w:bookmarkStart w:id="125" w:name="_Toc324246297"/>
      <w:bookmarkEnd w:id="125"/>
      <w:bookmarkStart w:id="126" w:name="_Toc324946972"/>
      <w:bookmarkEnd w:id="126"/>
      <w:r>
        <w:rPr>
          <w:rFonts w:hAnsi="宋体"/>
          <w:color w:val="auto"/>
        </w:rPr>
        <w:t>3.1.</w:t>
      </w:r>
      <w:r>
        <w:rPr>
          <w:rFonts w:hint="eastAsia" w:hAnsi="宋体"/>
          <w:color w:val="auto"/>
        </w:rPr>
        <w:t>6</w:t>
      </w:r>
      <w:r>
        <w:rPr>
          <w:rFonts w:hAnsi="宋体"/>
          <w:color w:val="auto"/>
        </w:rPr>
        <w:t xml:space="preserve"> 压力损失△</w:t>
      </w:r>
      <w:r>
        <w:rPr>
          <w:rFonts w:hAnsi="宋体"/>
          <w:i/>
          <w:color w:val="auto"/>
        </w:rPr>
        <w:t>p</w:t>
      </w:r>
      <w:r>
        <w:rPr>
          <w:rFonts w:hAnsi="宋体"/>
          <w:color w:val="auto"/>
        </w:rPr>
        <w:t xml:space="preserve">  pressure  loss</w:t>
      </w:r>
    </w:p>
    <w:p>
      <w:pPr>
        <w:pStyle w:val="8"/>
        <w:adjustRightInd w:val="0"/>
        <w:snapToGrid w:val="0"/>
        <w:spacing w:line="312" w:lineRule="auto"/>
        <w:ind w:firstLine="482"/>
        <w:rPr>
          <w:rFonts w:hAnsi="宋体"/>
          <w:color w:val="auto"/>
        </w:rPr>
      </w:pPr>
      <w:r>
        <w:rPr>
          <w:rFonts w:hAnsi="宋体"/>
          <w:color w:val="auto"/>
        </w:rPr>
        <w:t>燃气表在最大流量的条件下，进气口与出气口之间的压力降。</w:t>
      </w:r>
    </w:p>
    <w:p>
      <w:pPr>
        <w:pStyle w:val="8"/>
        <w:adjustRightInd w:val="0"/>
        <w:snapToGrid w:val="0"/>
        <w:spacing w:line="312" w:lineRule="auto"/>
        <w:rPr>
          <w:rFonts w:hAnsi="宋体"/>
          <w:color w:val="auto"/>
        </w:rPr>
      </w:pPr>
      <w:r>
        <w:rPr>
          <w:rFonts w:hAnsi="宋体"/>
          <w:color w:val="auto"/>
        </w:rPr>
        <w:t>3.1.</w:t>
      </w:r>
      <w:r>
        <w:rPr>
          <w:rFonts w:hint="eastAsia" w:hAnsi="宋体"/>
          <w:color w:val="auto"/>
        </w:rPr>
        <w:t>7</w:t>
      </w:r>
      <w:r>
        <w:rPr>
          <w:rFonts w:hAnsi="宋体"/>
          <w:color w:val="auto"/>
        </w:rPr>
        <w:t xml:space="preserve"> 累积流量</w:t>
      </w:r>
      <w:r>
        <w:rPr>
          <w:rFonts w:hAnsi="宋体"/>
          <w:i/>
          <w:color w:val="auto"/>
        </w:rPr>
        <w:t>Q</w:t>
      </w:r>
      <w:r>
        <w:rPr>
          <w:rFonts w:hAnsi="宋体"/>
          <w:color w:val="auto"/>
        </w:rPr>
        <w:t xml:space="preserve">  integrating value</w:t>
      </w:r>
    </w:p>
    <w:p>
      <w:pPr>
        <w:pStyle w:val="8"/>
        <w:adjustRightInd w:val="0"/>
        <w:snapToGrid w:val="0"/>
        <w:spacing w:line="312" w:lineRule="auto"/>
        <w:ind w:firstLine="482"/>
        <w:rPr>
          <w:rFonts w:hAnsi="宋体"/>
          <w:color w:val="auto"/>
        </w:rPr>
      </w:pPr>
      <w:r>
        <w:rPr>
          <w:rFonts w:hAnsi="宋体"/>
          <w:color w:val="auto"/>
        </w:rPr>
        <w:t>在一定时间内</w:t>
      </w:r>
      <w:r>
        <w:rPr>
          <w:rFonts w:hint="eastAsia" w:hAnsi="宋体"/>
          <w:color w:val="auto"/>
        </w:rPr>
        <w:t>流过</w:t>
      </w:r>
      <w:r>
        <w:rPr>
          <w:rFonts w:hAnsi="宋体"/>
          <w:color w:val="auto"/>
        </w:rPr>
        <w:t>燃气表的流量值。</w:t>
      </w:r>
    </w:p>
    <w:p>
      <w:pPr>
        <w:pStyle w:val="8"/>
        <w:adjustRightInd w:val="0"/>
        <w:snapToGrid w:val="0"/>
        <w:spacing w:line="312" w:lineRule="auto"/>
        <w:rPr>
          <w:rFonts w:hAnsi="宋体"/>
          <w:color w:val="auto"/>
        </w:rPr>
      </w:pPr>
      <w:r>
        <w:rPr>
          <w:rFonts w:hAnsi="宋体"/>
          <w:color w:val="auto"/>
        </w:rPr>
        <w:t>3.1.</w:t>
      </w:r>
      <w:r>
        <w:rPr>
          <w:rFonts w:hint="eastAsia" w:hAnsi="宋体"/>
          <w:color w:val="auto"/>
        </w:rPr>
        <w:t>8</w:t>
      </w:r>
      <w:r>
        <w:rPr>
          <w:rFonts w:hAnsi="宋体"/>
          <w:color w:val="auto"/>
        </w:rPr>
        <w:t xml:space="preserve"> 欠压值  minimum operating voltage</w:t>
      </w:r>
    </w:p>
    <w:p>
      <w:pPr>
        <w:pStyle w:val="8"/>
        <w:adjustRightInd w:val="0"/>
        <w:snapToGrid w:val="0"/>
        <w:spacing w:line="312" w:lineRule="auto"/>
        <w:ind w:firstLine="482"/>
        <w:rPr>
          <w:rFonts w:hint="eastAsia" w:hAnsi="宋体"/>
          <w:color w:val="auto"/>
        </w:rPr>
      </w:pPr>
      <w:r>
        <w:rPr>
          <w:rFonts w:hAnsi="宋体"/>
          <w:color w:val="auto"/>
        </w:rPr>
        <w:t>保证附加装置正常工作的设定最低的电压值。</w:t>
      </w:r>
    </w:p>
    <w:p>
      <w:pPr>
        <w:pStyle w:val="8"/>
        <w:adjustRightInd w:val="0"/>
        <w:snapToGrid w:val="0"/>
        <w:spacing w:line="312" w:lineRule="auto"/>
        <w:rPr>
          <w:rFonts w:hint="eastAsia" w:hAnsi="宋体"/>
          <w:color w:val="auto"/>
        </w:rPr>
      </w:pPr>
      <w:r>
        <w:rPr>
          <w:rFonts w:hint="eastAsia" w:hAnsi="宋体"/>
          <w:color w:val="auto"/>
        </w:rPr>
        <w:t xml:space="preserve">3.1.9 附加功能 </w:t>
      </w:r>
      <w:r>
        <w:rPr>
          <w:rFonts w:hAnsi="宋体"/>
          <w:color w:val="auto"/>
        </w:rPr>
        <w:t>ancillary devices</w:t>
      </w:r>
    </w:p>
    <w:p>
      <w:pPr>
        <w:pStyle w:val="8"/>
        <w:adjustRightInd w:val="0"/>
        <w:snapToGrid w:val="0"/>
        <w:spacing w:line="312" w:lineRule="auto"/>
        <w:ind w:firstLine="482"/>
        <w:rPr>
          <w:rFonts w:hAnsi="宋体"/>
          <w:color w:val="auto"/>
        </w:rPr>
      </w:pPr>
      <w:bookmarkStart w:id="127" w:name="_Toc311448325"/>
      <w:bookmarkEnd w:id="127"/>
      <w:bookmarkStart w:id="128" w:name="_Toc313024453"/>
      <w:bookmarkEnd w:id="128"/>
      <w:bookmarkStart w:id="129" w:name="_Toc313626211"/>
      <w:bookmarkEnd w:id="129"/>
      <w:bookmarkStart w:id="130" w:name="_Toc313626285"/>
      <w:bookmarkEnd w:id="130"/>
      <w:bookmarkStart w:id="131" w:name="_Toc313626369"/>
      <w:bookmarkEnd w:id="131"/>
      <w:bookmarkStart w:id="132" w:name="_Toc324245950"/>
      <w:bookmarkEnd w:id="132"/>
      <w:bookmarkStart w:id="133" w:name="_Toc324246069"/>
      <w:bookmarkEnd w:id="133"/>
      <w:bookmarkStart w:id="134" w:name="_Toc324246187"/>
      <w:bookmarkEnd w:id="134"/>
      <w:bookmarkStart w:id="135" w:name="_Toc324246298"/>
      <w:bookmarkEnd w:id="135"/>
      <w:bookmarkStart w:id="136" w:name="_Toc324946973"/>
      <w:bookmarkEnd w:id="136"/>
      <w:r>
        <w:rPr>
          <w:rFonts w:hint="eastAsia" w:hAnsi="宋体"/>
          <w:color w:val="auto"/>
        </w:rPr>
        <w:t>在燃气表基本结构基础上所增加的附加功能，如</w:t>
      </w:r>
      <w:r>
        <w:rPr>
          <w:rFonts w:hAnsi="宋体"/>
          <w:color w:val="auto"/>
        </w:rPr>
        <w:t>预付费</w:t>
      </w:r>
      <w:r>
        <w:rPr>
          <w:rFonts w:hint="eastAsia" w:hAnsi="宋体"/>
          <w:color w:val="auto"/>
        </w:rPr>
        <w:t>功能</w:t>
      </w:r>
      <w:r>
        <w:rPr>
          <w:rFonts w:hAnsi="宋体"/>
          <w:color w:val="auto"/>
        </w:rPr>
        <w:t>、远程读表</w:t>
      </w:r>
      <w:r>
        <w:rPr>
          <w:rFonts w:hint="eastAsia" w:hAnsi="宋体"/>
          <w:color w:val="auto"/>
        </w:rPr>
        <w:t>功能等</w:t>
      </w:r>
      <w:r>
        <w:rPr>
          <w:rFonts w:hAnsi="宋体"/>
          <w:color w:val="auto"/>
        </w:rPr>
        <w:t>。</w:t>
      </w:r>
    </w:p>
    <w:p>
      <w:pPr>
        <w:pStyle w:val="8"/>
        <w:adjustRightInd w:val="0"/>
        <w:snapToGrid w:val="0"/>
        <w:spacing w:line="312" w:lineRule="auto"/>
        <w:rPr>
          <w:rFonts w:hAnsi="宋体"/>
          <w:color w:val="auto"/>
        </w:rPr>
      </w:pPr>
      <w:r>
        <w:rPr>
          <w:rFonts w:hAnsi="宋体"/>
          <w:color w:val="auto"/>
        </w:rPr>
        <w:t>3.1.</w:t>
      </w:r>
      <w:r>
        <w:rPr>
          <w:rFonts w:hint="eastAsia" w:hAnsi="宋体"/>
          <w:color w:val="auto"/>
        </w:rPr>
        <w:t>10</w:t>
      </w:r>
      <w:r>
        <w:rPr>
          <w:rFonts w:hAnsi="宋体"/>
          <w:color w:val="auto"/>
        </w:rPr>
        <w:t xml:space="preserve"> 超声波</w:t>
      </w:r>
      <w:r>
        <w:rPr>
          <w:rFonts w:hint="eastAsia" w:hAnsi="宋体"/>
          <w:color w:val="auto"/>
        </w:rPr>
        <w:t>换能器</w:t>
      </w:r>
      <w:r>
        <w:rPr>
          <w:rFonts w:hAnsi="宋体"/>
          <w:color w:val="auto"/>
        </w:rPr>
        <w:t xml:space="preserve">  ultrasonic transducer</w:t>
      </w:r>
    </w:p>
    <w:p>
      <w:pPr>
        <w:pStyle w:val="8"/>
        <w:adjustRightInd w:val="0"/>
        <w:snapToGrid w:val="0"/>
        <w:spacing w:line="312" w:lineRule="auto"/>
        <w:ind w:firstLine="482"/>
        <w:rPr>
          <w:rFonts w:hAnsi="宋体"/>
          <w:color w:val="auto"/>
        </w:rPr>
      </w:pPr>
      <w:r>
        <w:rPr>
          <w:rFonts w:hint="eastAsia" w:hAnsi="宋体"/>
          <w:color w:val="auto"/>
        </w:rPr>
        <w:t>把声能转换成电信号和反过来把电信号转换成声能的组件，并成对安装，同时工作</w:t>
      </w:r>
      <w:r>
        <w:rPr>
          <w:rFonts w:hAnsi="宋体"/>
          <w:color w:val="auto"/>
        </w:rPr>
        <w:t>。</w:t>
      </w:r>
    </w:p>
    <w:p>
      <w:pPr>
        <w:pStyle w:val="8"/>
        <w:adjustRightInd w:val="0"/>
        <w:snapToGrid w:val="0"/>
        <w:spacing w:line="312" w:lineRule="auto"/>
        <w:rPr>
          <w:rFonts w:hint="eastAsia" w:hAnsi="宋体"/>
          <w:color w:val="auto"/>
        </w:rPr>
      </w:pPr>
      <w:r>
        <w:rPr>
          <w:rFonts w:hAnsi="宋体"/>
          <w:color w:val="auto"/>
        </w:rPr>
        <w:t>3.1.</w:t>
      </w:r>
      <w:r>
        <w:rPr>
          <w:rFonts w:hint="eastAsia" w:hAnsi="宋体"/>
          <w:color w:val="auto"/>
        </w:rPr>
        <w:t>11</w:t>
      </w:r>
      <w:r>
        <w:rPr>
          <w:rFonts w:hAnsi="宋体"/>
          <w:color w:val="auto"/>
        </w:rPr>
        <w:t xml:space="preserve"> 声道acoustic patch</w:t>
      </w:r>
    </w:p>
    <w:p>
      <w:pPr>
        <w:pStyle w:val="8"/>
        <w:adjustRightInd w:val="0"/>
        <w:snapToGrid w:val="0"/>
        <w:spacing w:line="312" w:lineRule="auto"/>
        <w:ind w:firstLine="482"/>
        <w:rPr>
          <w:rFonts w:hAnsi="宋体"/>
          <w:color w:val="auto"/>
        </w:rPr>
      </w:pPr>
      <w:r>
        <w:rPr>
          <w:rFonts w:hint="eastAsia" w:hAnsi="宋体"/>
          <w:color w:val="auto"/>
        </w:rPr>
        <w:t>在一对发射和接收超声波换能器间的超声信号的</w:t>
      </w:r>
      <w:r>
        <w:rPr>
          <w:rFonts w:hAnsi="宋体"/>
          <w:color w:val="auto"/>
        </w:rPr>
        <w:t>实际路径。</w:t>
      </w:r>
    </w:p>
    <w:p>
      <w:pPr>
        <w:pStyle w:val="8"/>
        <w:adjustRightInd w:val="0"/>
        <w:snapToGrid w:val="0"/>
        <w:spacing w:line="312" w:lineRule="auto"/>
        <w:rPr>
          <w:rFonts w:hAnsi="宋体"/>
          <w:color w:val="auto"/>
        </w:rPr>
      </w:pPr>
      <w:r>
        <w:rPr>
          <w:rFonts w:hAnsi="宋体"/>
          <w:color w:val="auto"/>
        </w:rPr>
        <w:t>3.1.</w:t>
      </w:r>
      <w:r>
        <w:rPr>
          <w:rFonts w:hint="eastAsia" w:hAnsi="宋体"/>
          <w:color w:val="auto"/>
        </w:rPr>
        <w:t>12</w:t>
      </w:r>
      <w:r>
        <w:rPr>
          <w:rFonts w:hAnsi="宋体"/>
          <w:color w:val="auto"/>
        </w:rPr>
        <w:t xml:space="preserve"> 声道角 </w:t>
      </w:r>
      <w:r>
        <w:rPr>
          <w:rFonts w:hint="eastAsia" w:hAnsi="宋体"/>
          <w:i/>
          <w:iCs/>
          <w:color w:val="auto"/>
        </w:rPr>
        <w:t>φ</w:t>
      </w:r>
      <w:r>
        <w:rPr>
          <w:rFonts w:hAnsi="宋体"/>
          <w:color w:val="auto"/>
        </w:rPr>
        <w:t xml:space="preserve"> transmission angle</w:t>
      </w:r>
    </w:p>
    <w:p>
      <w:pPr>
        <w:pStyle w:val="8"/>
        <w:adjustRightInd w:val="0"/>
        <w:snapToGrid w:val="0"/>
        <w:spacing w:line="312" w:lineRule="auto"/>
        <w:ind w:firstLine="482"/>
        <w:rPr>
          <w:rFonts w:hAnsi="宋体"/>
          <w:color w:val="auto"/>
        </w:rPr>
      </w:pPr>
      <w:r>
        <w:rPr>
          <w:rFonts w:hAnsi="宋体"/>
          <w:color w:val="auto"/>
        </w:rPr>
        <w:t>声道与管道轴线之间的夹角。</w:t>
      </w:r>
    </w:p>
    <w:p>
      <w:pPr>
        <w:pStyle w:val="8"/>
        <w:adjustRightInd w:val="0"/>
        <w:snapToGrid w:val="0"/>
        <w:spacing w:line="312" w:lineRule="auto"/>
        <w:rPr>
          <w:rFonts w:hint="eastAsia" w:hAnsi="宋体"/>
          <w:color w:val="auto"/>
        </w:rPr>
      </w:pPr>
      <w:r>
        <w:rPr>
          <w:rFonts w:hAnsi="宋体"/>
          <w:color w:val="auto"/>
        </w:rPr>
        <w:t>3.1.</w:t>
      </w:r>
      <w:r>
        <w:rPr>
          <w:rFonts w:hint="eastAsia" w:hAnsi="宋体"/>
          <w:color w:val="auto"/>
        </w:rPr>
        <w:t>13</w:t>
      </w:r>
      <w:r>
        <w:rPr>
          <w:rFonts w:hAnsi="宋体"/>
          <w:color w:val="auto"/>
        </w:rPr>
        <w:t xml:space="preserve"> 声道</w:t>
      </w:r>
      <w:r>
        <w:rPr>
          <w:rFonts w:hint="eastAsia" w:hAnsi="宋体"/>
          <w:color w:val="auto"/>
        </w:rPr>
        <w:t>长度L</w:t>
      </w:r>
      <w:r>
        <w:rPr>
          <w:rFonts w:hAnsi="宋体"/>
          <w:color w:val="auto"/>
        </w:rPr>
        <w:t xml:space="preserve">  </w:t>
      </w:r>
      <w:r>
        <w:rPr>
          <w:rFonts w:hint="eastAsia" w:hAnsi="宋体"/>
          <w:color w:val="auto"/>
        </w:rPr>
        <w:t>path length</w:t>
      </w:r>
    </w:p>
    <w:p>
      <w:pPr>
        <w:pStyle w:val="8"/>
        <w:adjustRightInd w:val="0"/>
        <w:snapToGrid w:val="0"/>
        <w:spacing w:line="312" w:lineRule="auto"/>
        <w:ind w:firstLine="482"/>
        <w:rPr>
          <w:rFonts w:hAnsi="宋体"/>
          <w:color w:val="auto"/>
        </w:rPr>
      </w:pPr>
      <w:r>
        <w:rPr>
          <w:rFonts w:hint="eastAsia" w:hAnsi="宋体"/>
          <w:color w:val="auto"/>
        </w:rPr>
        <w:t>一对超声换能器端面之间的直线长度</w:t>
      </w:r>
      <w:r>
        <w:rPr>
          <w:rFonts w:hAnsi="宋体"/>
          <w:color w:val="auto"/>
        </w:rPr>
        <w:t>。</w:t>
      </w:r>
    </w:p>
    <w:p>
      <w:pPr>
        <w:pStyle w:val="8"/>
        <w:adjustRightInd w:val="0"/>
        <w:snapToGrid w:val="0"/>
        <w:spacing w:line="312" w:lineRule="auto"/>
        <w:rPr>
          <w:rFonts w:hint="eastAsia" w:hAnsi="宋体"/>
          <w:color w:val="auto"/>
        </w:rPr>
      </w:pPr>
      <w:r>
        <w:rPr>
          <w:rFonts w:hAnsi="宋体"/>
          <w:color w:val="auto"/>
        </w:rPr>
        <w:t>3.1.</w:t>
      </w:r>
      <w:r>
        <w:rPr>
          <w:rFonts w:hint="eastAsia" w:hAnsi="宋体"/>
          <w:color w:val="auto"/>
        </w:rPr>
        <w:t>14</w:t>
      </w:r>
      <w:r>
        <w:rPr>
          <w:rFonts w:hAnsi="宋体"/>
          <w:color w:val="auto"/>
        </w:rPr>
        <w:t xml:space="preserve"> </w:t>
      </w:r>
      <w:r>
        <w:rPr>
          <w:rFonts w:hint="eastAsia" w:hAnsi="宋体"/>
          <w:color w:val="auto"/>
        </w:rPr>
        <w:t>燃气轴向速度</w:t>
      </w:r>
      <w:r>
        <w:rPr>
          <w:rFonts w:hint="eastAsia" w:hAnsi="宋体"/>
          <w:i/>
          <w:iCs/>
          <w:color w:val="auto"/>
        </w:rPr>
        <w:t>v</w:t>
      </w:r>
      <w:r>
        <w:rPr>
          <w:rFonts w:hint="eastAsia" w:hAnsi="宋体"/>
          <w:color w:val="auto"/>
          <w:vertAlign w:val="subscript"/>
        </w:rPr>
        <w:t>m</w:t>
      </w:r>
      <w:r>
        <w:rPr>
          <w:rFonts w:hAnsi="宋体"/>
          <w:color w:val="auto"/>
        </w:rPr>
        <w:t xml:space="preserve">  </w:t>
      </w:r>
      <w:r>
        <w:rPr>
          <w:rFonts w:hint="eastAsia" w:hAnsi="宋体"/>
          <w:color w:val="auto"/>
        </w:rPr>
        <w:t>fluid axial velocity</w:t>
      </w:r>
    </w:p>
    <w:p>
      <w:pPr>
        <w:pStyle w:val="8"/>
        <w:adjustRightInd w:val="0"/>
        <w:snapToGrid w:val="0"/>
        <w:spacing w:line="312" w:lineRule="auto"/>
        <w:ind w:firstLine="480" w:firstLineChars="200"/>
        <w:rPr>
          <w:rFonts w:hAnsi="宋体"/>
          <w:color w:val="auto"/>
        </w:rPr>
      </w:pPr>
      <w:r>
        <w:rPr>
          <w:rFonts w:hint="eastAsia" w:hAnsi="宋体"/>
          <w:color w:val="auto"/>
        </w:rPr>
        <w:t>瞬时流量与测量横截面面积之比</w:t>
      </w:r>
      <w:r>
        <w:rPr>
          <w:rFonts w:hAnsi="宋体"/>
          <w:color w:val="auto"/>
        </w:rPr>
        <w:t>。</w:t>
      </w:r>
    </w:p>
    <w:p>
      <w:pPr>
        <w:pStyle w:val="8"/>
        <w:adjustRightInd w:val="0"/>
        <w:snapToGrid w:val="0"/>
        <w:spacing w:line="312" w:lineRule="auto"/>
        <w:rPr>
          <w:rFonts w:hint="eastAsia" w:hAnsi="宋体"/>
          <w:color w:val="auto"/>
        </w:rPr>
      </w:pPr>
      <w:r>
        <w:rPr>
          <w:rFonts w:hAnsi="宋体"/>
          <w:color w:val="auto"/>
        </w:rPr>
        <w:t>3.1.</w:t>
      </w:r>
      <w:r>
        <w:rPr>
          <w:rFonts w:hint="eastAsia" w:hAnsi="宋体"/>
          <w:color w:val="auto"/>
        </w:rPr>
        <w:t>15</w:t>
      </w:r>
      <w:r>
        <w:rPr>
          <w:rFonts w:hAnsi="宋体"/>
          <w:color w:val="auto"/>
        </w:rPr>
        <w:t xml:space="preserve"> </w:t>
      </w:r>
      <w:r>
        <w:rPr>
          <w:rFonts w:hint="eastAsia" w:hAnsi="宋体"/>
          <w:color w:val="auto"/>
        </w:rPr>
        <w:t>零流量</w:t>
      </w:r>
      <w:r>
        <w:rPr>
          <w:rFonts w:hAnsi="宋体"/>
          <w:color w:val="auto"/>
        </w:rPr>
        <w:t xml:space="preserve">  </w:t>
      </w:r>
      <w:r>
        <w:rPr>
          <w:rFonts w:hint="eastAsia" w:hAnsi="宋体"/>
          <w:color w:val="auto"/>
        </w:rPr>
        <w:t>zero flow</w:t>
      </w:r>
    </w:p>
    <w:p>
      <w:pPr>
        <w:pStyle w:val="8"/>
        <w:adjustRightInd w:val="0"/>
        <w:snapToGrid w:val="0"/>
        <w:spacing w:line="312" w:lineRule="auto"/>
        <w:ind w:firstLine="480" w:firstLineChars="200"/>
        <w:rPr>
          <w:rFonts w:hAnsi="宋体"/>
          <w:color w:val="auto"/>
        </w:rPr>
      </w:pPr>
      <w:r>
        <w:rPr>
          <w:rFonts w:hint="eastAsia" w:hAnsi="宋体"/>
          <w:color w:val="auto"/>
        </w:rPr>
        <w:t>在封闭管道中燃气静止状态下的燃气表流量读数</w:t>
      </w:r>
      <w:r>
        <w:rPr>
          <w:rFonts w:hAnsi="宋体"/>
          <w:color w:val="auto"/>
        </w:rPr>
        <w:t>。</w:t>
      </w:r>
    </w:p>
    <w:p>
      <w:pPr>
        <w:pStyle w:val="8"/>
        <w:adjustRightInd w:val="0"/>
        <w:snapToGrid w:val="0"/>
        <w:spacing w:line="312" w:lineRule="auto"/>
        <w:rPr>
          <w:rFonts w:hAnsi="宋体"/>
          <w:color w:val="auto"/>
        </w:rPr>
      </w:pPr>
      <w:r>
        <w:rPr>
          <w:rFonts w:hAnsi="宋体"/>
          <w:color w:val="auto"/>
        </w:rPr>
        <w:t>3.2 计量单位</w:t>
      </w:r>
    </w:p>
    <w:p>
      <w:pPr>
        <w:pStyle w:val="8"/>
        <w:adjustRightInd w:val="0"/>
        <w:snapToGrid w:val="0"/>
        <w:spacing w:line="312" w:lineRule="auto"/>
        <w:ind w:firstLine="482"/>
        <w:rPr>
          <w:rFonts w:hAnsi="宋体"/>
          <w:color w:val="auto"/>
        </w:rPr>
      </w:pPr>
      <w:r>
        <w:rPr>
          <w:rFonts w:hint="eastAsia" w:hAnsi="宋体"/>
          <w:color w:val="auto"/>
        </w:rPr>
        <w:t>累积流量单位：</w:t>
      </w:r>
      <w:r>
        <w:rPr>
          <w:rFonts w:hAnsi="宋体"/>
          <w:color w:val="auto"/>
        </w:rPr>
        <w:t>立方米，符号m</w:t>
      </w:r>
      <w:r>
        <w:rPr>
          <w:rFonts w:hAnsi="宋体"/>
          <w:color w:val="auto"/>
          <w:vertAlign w:val="superscript"/>
        </w:rPr>
        <w:t>3</w:t>
      </w:r>
      <w:r>
        <w:rPr>
          <w:rFonts w:hAnsi="宋体"/>
          <w:color w:val="auto"/>
        </w:rPr>
        <w:t>；升，符号L。</w:t>
      </w:r>
    </w:p>
    <w:p>
      <w:pPr>
        <w:pStyle w:val="8"/>
        <w:adjustRightInd w:val="0"/>
        <w:snapToGrid w:val="0"/>
        <w:spacing w:line="312" w:lineRule="auto"/>
        <w:ind w:firstLine="482"/>
        <w:rPr>
          <w:rFonts w:hAnsi="宋体"/>
          <w:color w:val="auto"/>
        </w:rPr>
      </w:pPr>
      <w:r>
        <w:rPr>
          <w:rFonts w:hint="eastAsia" w:hAnsi="宋体"/>
          <w:color w:val="auto"/>
        </w:rPr>
        <w:t>瞬时流量单位</w:t>
      </w:r>
      <w:r>
        <w:rPr>
          <w:rFonts w:hAnsi="宋体"/>
          <w:color w:val="auto"/>
        </w:rPr>
        <w:t>：立方米每小时，符号m</w:t>
      </w:r>
      <w:r>
        <w:rPr>
          <w:rFonts w:hAnsi="宋体"/>
          <w:color w:val="auto"/>
          <w:vertAlign w:val="superscript"/>
        </w:rPr>
        <w:t>3</w:t>
      </w:r>
      <w:r>
        <w:rPr>
          <w:rFonts w:hAnsi="宋体"/>
          <w:color w:val="auto"/>
        </w:rPr>
        <w:t>/h。</w:t>
      </w:r>
    </w:p>
    <w:p>
      <w:pPr>
        <w:pStyle w:val="8"/>
        <w:adjustRightInd w:val="0"/>
        <w:snapToGrid w:val="0"/>
        <w:spacing w:line="312" w:lineRule="auto"/>
        <w:ind w:firstLine="482"/>
        <w:rPr>
          <w:rFonts w:hint="eastAsia" w:hAnsi="宋体"/>
          <w:color w:val="auto"/>
        </w:rPr>
      </w:pPr>
      <w:r>
        <w:rPr>
          <w:rFonts w:hAnsi="宋体"/>
          <w:color w:val="auto"/>
        </w:rPr>
        <w:t>压力单位：帕斯卡，符号Pa</w:t>
      </w:r>
      <w:r>
        <w:rPr>
          <w:rFonts w:hint="eastAsia" w:hAnsi="宋体"/>
          <w:color w:val="auto"/>
        </w:rPr>
        <w:t>；</w:t>
      </w:r>
      <w:r>
        <w:rPr>
          <w:rFonts w:hAnsi="宋体"/>
          <w:color w:val="auto"/>
        </w:rPr>
        <w:t>千帕，符号kPa。</w:t>
      </w:r>
    </w:p>
    <w:p>
      <w:pPr>
        <w:pStyle w:val="8"/>
        <w:adjustRightInd w:val="0"/>
        <w:snapToGrid w:val="0"/>
        <w:spacing w:line="312" w:lineRule="auto"/>
        <w:ind w:firstLine="482"/>
        <w:rPr>
          <w:color w:val="auto"/>
        </w:rPr>
      </w:pPr>
      <w:r>
        <w:rPr>
          <w:rFonts w:hAnsi="宋体"/>
          <w:color w:val="auto"/>
        </w:rPr>
        <w:t>温度单位：摄氏度，符号℃。</w:t>
      </w:r>
    </w:p>
    <w:p>
      <w:pPr>
        <w:pStyle w:val="4"/>
        <w:spacing w:line="240" w:lineRule="auto"/>
        <w:rPr>
          <w:bCs w:val="0"/>
          <w:color w:val="auto"/>
          <w:sz w:val="24"/>
          <w:szCs w:val="24"/>
        </w:rPr>
      </w:pPr>
      <w:bookmarkStart w:id="137" w:name="_Toc468349706"/>
      <w:r>
        <w:rPr>
          <w:bCs w:val="0"/>
          <w:color w:val="auto"/>
          <w:sz w:val="24"/>
          <w:szCs w:val="24"/>
        </w:rPr>
        <w:t xml:space="preserve">4 </w:t>
      </w:r>
      <w:r>
        <w:rPr>
          <w:rFonts w:hAnsi="宋体"/>
          <w:bCs w:val="0"/>
          <w:color w:val="auto"/>
          <w:sz w:val="24"/>
          <w:szCs w:val="24"/>
        </w:rPr>
        <w:t>概述</w:t>
      </w:r>
      <w:bookmarkEnd w:id="137"/>
    </w:p>
    <w:p>
      <w:pPr>
        <w:spacing w:line="312" w:lineRule="auto"/>
        <w:rPr>
          <w:rFonts w:hint="eastAsia" w:hAnsi="宋体"/>
          <w:color w:val="auto"/>
          <w:sz w:val="24"/>
        </w:rPr>
      </w:pPr>
      <w:r>
        <w:rPr>
          <w:color w:val="auto"/>
          <w:sz w:val="24"/>
        </w:rPr>
        <w:t xml:space="preserve">4.1 </w:t>
      </w:r>
      <w:r>
        <w:rPr>
          <w:rFonts w:hAnsi="宋体"/>
          <w:color w:val="auto"/>
          <w:sz w:val="24"/>
        </w:rPr>
        <w:t>原理</w:t>
      </w:r>
    </w:p>
    <w:p>
      <w:pPr>
        <w:spacing w:line="312" w:lineRule="auto"/>
        <w:ind w:firstLine="480"/>
        <w:rPr>
          <w:rFonts w:hint="eastAsia" w:hAnsi="宋体"/>
          <w:color w:val="auto"/>
          <w:sz w:val="24"/>
        </w:rPr>
      </w:pPr>
      <w:r>
        <w:rPr>
          <w:rFonts w:hint="eastAsia" w:hAnsi="宋体"/>
          <w:color w:val="auto"/>
          <w:sz w:val="24"/>
        </w:rPr>
        <w:t>超声波在流动的介质中顺流方向和逆流方向</w:t>
      </w:r>
      <w:r>
        <w:rPr>
          <w:rFonts w:hAnsi="宋体"/>
          <w:color w:val="auto"/>
          <w:sz w:val="24"/>
        </w:rPr>
        <w:t>的时间</w:t>
      </w:r>
      <w:r>
        <w:rPr>
          <w:rFonts w:hint="eastAsia" w:hAnsi="宋体"/>
          <w:color w:val="auto"/>
          <w:sz w:val="24"/>
        </w:rPr>
        <w:t>差与流体的平均流速成正比，时间差法</w:t>
      </w:r>
      <w:r>
        <w:rPr>
          <w:rFonts w:hAnsi="宋体"/>
          <w:color w:val="auto"/>
          <w:sz w:val="24"/>
        </w:rPr>
        <w:t>超声波燃气表</w:t>
      </w:r>
      <w:r>
        <w:rPr>
          <w:rFonts w:hint="eastAsia" w:hAnsi="宋体"/>
          <w:color w:val="auto"/>
          <w:sz w:val="24"/>
        </w:rPr>
        <w:t>通过计算超声波的传播时间差得到流速，再由流速与声道在封闭管道截面积的乘积即可获得到流体的</w:t>
      </w:r>
      <w:r>
        <w:rPr>
          <w:rFonts w:hAnsi="宋体"/>
          <w:color w:val="auto"/>
          <w:sz w:val="24"/>
        </w:rPr>
        <w:t>流量</w:t>
      </w:r>
      <w:r>
        <w:rPr>
          <w:rFonts w:hint="eastAsia" w:hAnsi="宋体"/>
          <w:color w:val="auto"/>
          <w:sz w:val="24"/>
        </w:rPr>
        <w:t>，其基本原理如图1所示。</w:t>
      </w:r>
    </w:p>
    <w:p>
      <w:pPr>
        <w:spacing w:line="312" w:lineRule="auto"/>
        <w:ind w:firstLine="480"/>
        <w:rPr>
          <w:rFonts w:hint="eastAsia" w:hAnsi="宋体"/>
          <w:color w:val="auto"/>
          <w:sz w:val="24"/>
        </w:rPr>
      </w:pPr>
    </w:p>
    <w:p>
      <w:pPr>
        <w:adjustRightInd w:val="0"/>
        <w:snapToGrid w:val="0"/>
        <w:spacing w:line="300" w:lineRule="auto"/>
        <w:jc w:val="center"/>
        <w:rPr>
          <w:rFonts w:hint="eastAsia" w:hAnsi="宋体"/>
          <w:color w:val="auto"/>
          <w:kern w:val="24"/>
          <w:sz w:val="24"/>
        </w:rPr>
      </w:pPr>
      <w:r>
        <w:rPr>
          <w:rFonts w:hint="eastAsia" w:hAnsi="宋体"/>
          <w:color w:val="auto"/>
          <w:kern w:val="24"/>
          <w:sz w:val="24"/>
        </w:rPr>
        <w:drawing>
          <wp:inline distT="0" distB="0" distL="114300" distR="114300">
            <wp:extent cx="3020695" cy="1381125"/>
            <wp:effectExtent l="0" t="0" r="8255"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4"/>
                    <a:stretch>
                      <a:fillRect/>
                    </a:stretch>
                  </pic:blipFill>
                  <pic:spPr>
                    <a:xfrm>
                      <a:off x="0" y="0"/>
                      <a:ext cx="3020695" cy="1381125"/>
                    </a:xfrm>
                    <a:prstGeom prst="rect">
                      <a:avLst/>
                    </a:prstGeom>
                    <a:noFill/>
                    <a:ln w="9525">
                      <a:noFill/>
                    </a:ln>
                  </pic:spPr>
                </pic:pic>
              </a:graphicData>
            </a:graphic>
          </wp:inline>
        </w:drawing>
      </w:r>
    </w:p>
    <w:p>
      <w:pPr>
        <w:adjustRightInd w:val="0"/>
        <w:snapToGrid w:val="0"/>
        <w:spacing w:line="300" w:lineRule="auto"/>
        <w:jc w:val="center"/>
        <w:rPr>
          <w:rFonts w:hint="eastAsia" w:hAnsi="宋体"/>
          <w:color w:val="auto"/>
          <w:kern w:val="24"/>
          <w:sz w:val="24"/>
        </w:rPr>
      </w:pPr>
      <w:r>
        <w:rPr>
          <w:rFonts w:hint="eastAsia" w:hAnsi="宋体"/>
          <w:color w:val="auto"/>
          <w:kern w:val="24"/>
          <w:sz w:val="24"/>
        </w:rPr>
        <w:t xml:space="preserve">图1 </w:t>
      </w:r>
      <w:r>
        <w:rPr>
          <w:rFonts w:hint="eastAsia" w:hAnsi="宋体"/>
          <w:color w:val="auto"/>
          <w:sz w:val="24"/>
        </w:rPr>
        <w:t>时间差法超声波</w:t>
      </w:r>
      <w:r>
        <w:rPr>
          <w:rFonts w:hAnsi="宋体"/>
          <w:color w:val="auto"/>
          <w:sz w:val="24"/>
        </w:rPr>
        <w:t>燃气表</w:t>
      </w:r>
      <w:r>
        <w:rPr>
          <w:rFonts w:hint="eastAsia" w:hAnsi="宋体"/>
          <w:color w:val="auto"/>
          <w:sz w:val="24"/>
        </w:rPr>
        <w:t>的基本原理</w:t>
      </w:r>
      <w:r>
        <w:rPr>
          <w:rFonts w:hint="eastAsia" w:hAnsi="宋体"/>
          <w:color w:val="auto"/>
          <w:kern w:val="24"/>
          <w:sz w:val="24"/>
        </w:rPr>
        <w:t>示意图</w:t>
      </w:r>
    </w:p>
    <w:p>
      <w:pPr>
        <w:spacing w:line="312" w:lineRule="auto"/>
        <w:ind w:firstLine="480"/>
        <w:rPr>
          <w:rFonts w:hint="eastAsia" w:hAnsi="宋体"/>
          <w:color w:val="auto"/>
          <w:sz w:val="24"/>
        </w:rPr>
      </w:pPr>
    </w:p>
    <w:p>
      <w:pPr>
        <w:spacing w:line="312" w:lineRule="auto"/>
        <w:ind w:firstLine="480" w:firstLineChars="200"/>
        <w:rPr>
          <w:rFonts w:hint="eastAsia" w:hAnsi="宋体"/>
          <w:color w:val="auto"/>
          <w:sz w:val="24"/>
        </w:rPr>
      </w:pPr>
      <w:r>
        <w:rPr>
          <w:rFonts w:hAnsi="宋体"/>
          <w:color w:val="auto"/>
          <w:sz w:val="24"/>
        </w:rPr>
        <w:t>燃气表超声波</w:t>
      </w:r>
      <w:r>
        <w:rPr>
          <w:rFonts w:hint="eastAsia" w:hAnsi="宋体"/>
          <w:color w:val="auto"/>
          <w:sz w:val="24"/>
        </w:rPr>
        <w:t>顺流和逆流传播时间与各量之间的关系是：</w:t>
      </w:r>
    </w:p>
    <w:p>
      <w:pPr>
        <w:spacing w:line="312" w:lineRule="auto"/>
        <w:ind w:firstLine="480"/>
        <w:jc w:val="center"/>
        <w:rPr>
          <w:rFonts w:hint="eastAsia" w:hAnsi="宋体"/>
          <w:color w:val="auto"/>
          <w:sz w:val="24"/>
        </w:rPr>
      </w:pPr>
      <w:r>
        <w:rPr>
          <w:color w:val="auto"/>
          <w:position w:val="-30"/>
          <w:sz w:val="24"/>
        </w:rPr>
        <w:object>
          <v:shape id="_x0000_i1025" o:spt="75" type="#_x0000_t75" style="height:37.15pt;width:132.3pt;" o:ole="t" filled="f" o:preferrelative="t" stroked="f" coordsize="21600,21600">
            <v:path/>
            <v:fill on="f" alignshape="1" focussize="0,0"/>
            <v:stroke on="f"/>
            <v:imagedata r:id="rId16" o:title=""/>
            <o:lock v:ext="edit" aspectratio="t"/>
            <w10:wrap type="none"/>
            <w10:anchorlock/>
          </v:shape>
          <o:OLEObject Type="Embed" ProgID="Equation.3" ShapeID="_x0000_i1025" DrawAspect="Content" ObjectID="_1468075725" r:id="rId15">
            <o:LockedField>false</o:LockedField>
          </o:OLEObject>
        </w:object>
      </w:r>
      <w:r>
        <w:rPr>
          <w:rFonts w:hint="eastAsia"/>
          <w:color w:val="auto"/>
          <w:sz w:val="24"/>
        </w:rPr>
        <w:t xml:space="preserve">      </w:t>
      </w:r>
      <w:r>
        <w:rPr>
          <w:color w:val="auto"/>
          <w:position w:val="-30"/>
          <w:sz w:val="24"/>
        </w:rPr>
        <w:object>
          <v:shape id="_x0000_i1026" o:spt="75" type="#_x0000_t75" style="height:34.25pt;width:112.95pt;" o:ole="t" filled="f" o:preferrelative="t" stroked="f" coordsize="21600,21600">
            <v:path/>
            <v:fill on="f" alignshape="1" focussize="0,0"/>
            <v:stroke on="f"/>
            <v:imagedata r:id="rId18" o:title=""/>
            <o:lock v:ext="edit" aspectratio="t"/>
            <w10:wrap type="none"/>
            <w10:anchorlock/>
          </v:shape>
          <o:OLEObject Type="Embed" ProgID="Equation.3" ShapeID="_x0000_i1026" DrawAspect="Content" ObjectID="_1468075726" r:id="rId17">
            <o:LockedField>false</o:LockedField>
          </o:OLEObject>
        </w:object>
      </w:r>
      <w:r>
        <w:rPr>
          <w:rFonts w:hint="eastAsia"/>
          <w:color w:val="auto"/>
          <w:sz w:val="24"/>
        </w:rPr>
        <w:t xml:space="preserve">      （1）</w:t>
      </w:r>
    </w:p>
    <w:p>
      <w:pPr>
        <w:adjustRightInd w:val="0"/>
        <w:snapToGrid w:val="0"/>
        <w:spacing w:line="300" w:lineRule="auto"/>
        <w:ind w:firstLine="480" w:firstLineChars="200"/>
        <w:rPr>
          <w:color w:val="auto"/>
          <w:sz w:val="24"/>
        </w:rPr>
      </w:pPr>
      <w:r>
        <w:rPr>
          <w:rFonts w:hint="eastAsia" w:hAnsi="宋体"/>
          <w:color w:val="auto"/>
          <w:sz w:val="24"/>
        </w:rPr>
        <w:t>式中</w:t>
      </w:r>
      <w:r>
        <w:rPr>
          <w:rFonts w:hAnsi="宋体"/>
          <w:color w:val="auto"/>
          <w:sz w:val="24"/>
        </w:rPr>
        <w:t>：</w:t>
      </w:r>
    </w:p>
    <w:p>
      <w:pPr>
        <w:adjustRightInd w:val="0"/>
        <w:snapToGrid w:val="0"/>
        <w:spacing w:line="300" w:lineRule="auto"/>
        <w:ind w:firstLine="1080" w:firstLineChars="450"/>
        <w:rPr>
          <w:color w:val="auto"/>
          <w:kern w:val="24"/>
          <w:sz w:val="24"/>
        </w:rPr>
      </w:pPr>
      <w:r>
        <w:rPr>
          <w:color w:val="auto"/>
          <w:position w:val="-12"/>
          <w:sz w:val="24"/>
        </w:rPr>
        <w:object>
          <v:shape id="_x0000_i1027" o:spt="75" type="#_x0000_t75" style="height:18pt;width:23pt;" o:ole="t" filled="f" o:preferrelative="t" stroked="f" coordsize="21600,21600">
            <v:path/>
            <v:fill on="f" alignshape="1" focussize="0,0"/>
            <v:stroke on="f"/>
            <v:imagedata r:id="rId20" o:title=""/>
            <o:lock v:ext="edit" aspectratio="t"/>
            <w10:wrap type="none"/>
            <w10:anchorlock/>
          </v:shape>
          <o:OLEObject Type="Embed" ProgID="Equation.3" ShapeID="_x0000_i1027" DrawAspect="Content" ObjectID="_1468075727" r:id="rId19">
            <o:LockedField>false</o:LockedField>
          </o:OLEObject>
        </w:object>
      </w:r>
      <w:r>
        <w:rPr>
          <w:rFonts w:hint="eastAsia"/>
          <w:color w:val="auto"/>
          <w:sz w:val="24"/>
        </w:rPr>
        <w:t xml:space="preserve"> </w:t>
      </w:r>
      <w:r>
        <w:rPr>
          <w:color w:val="auto"/>
          <w:sz w:val="24"/>
        </w:rPr>
        <w:t>——</w:t>
      </w:r>
      <w:r>
        <w:rPr>
          <w:rFonts w:hint="eastAsia" w:hAnsi="宋体"/>
          <w:color w:val="auto"/>
          <w:kern w:val="24"/>
          <w:sz w:val="24"/>
        </w:rPr>
        <w:t>超声波在流体中顺流传播</w:t>
      </w:r>
      <w:r>
        <w:rPr>
          <w:rFonts w:hAnsi="宋体"/>
          <w:color w:val="auto"/>
          <w:kern w:val="24"/>
          <w:sz w:val="24"/>
        </w:rPr>
        <w:t>的时间</w:t>
      </w:r>
      <w:r>
        <w:rPr>
          <w:rFonts w:hint="eastAsia" w:hAnsi="宋体"/>
          <w:color w:val="auto"/>
          <w:kern w:val="24"/>
          <w:sz w:val="24"/>
        </w:rPr>
        <w:t>，s</w:t>
      </w:r>
      <w:r>
        <w:rPr>
          <w:rFonts w:hAnsi="宋体"/>
          <w:color w:val="auto"/>
          <w:kern w:val="24"/>
          <w:sz w:val="24"/>
        </w:rPr>
        <w:t>；</w:t>
      </w:r>
    </w:p>
    <w:p>
      <w:pPr>
        <w:adjustRightInd w:val="0"/>
        <w:snapToGrid w:val="0"/>
        <w:spacing w:line="300" w:lineRule="auto"/>
        <w:ind w:firstLine="1080" w:firstLineChars="450"/>
        <w:rPr>
          <w:color w:val="auto"/>
          <w:kern w:val="24"/>
          <w:sz w:val="24"/>
        </w:rPr>
      </w:pPr>
      <w:r>
        <w:rPr>
          <w:color w:val="auto"/>
          <w:position w:val="-14"/>
          <w:sz w:val="24"/>
        </w:rPr>
        <w:object>
          <v:shape id="_x0000_i1028" o:spt="75" type="#_x0000_t75" style="height:19pt;width:21.3pt;" o:ole="t" filled="f" o:preferrelative="t" stroked="f" coordsize="21600,21600">
            <v:path/>
            <v:fill on="f" alignshape="1" focussize="0,0"/>
            <v:stroke on="f"/>
            <v:imagedata r:id="rId22" o:title=""/>
            <o:lock v:ext="edit" aspectratio="t"/>
            <w10:wrap type="none"/>
            <w10:anchorlock/>
          </v:shape>
          <o:OLEObject Type="Embed" ProgID="Equation.3" ShapeID="_x0000_i1028" DrawAspect="Content" ObjectID="_1468075728" r:id="rId21">
            <o:LockedField>false</o:LockedField>
          </o:OLEObject>
        </w:object>
      </w:r>
      <w:r>
        <w:rPr>
          <w:rFonts w:hint="eastAsia"/>
          <w:color w:val="auto"/>
          <w:sz w:val="24"/>
        </w:rPr>
        <w:t xml:space="preserve"> </w:t>
      </w:r>
      <w:r>
        <w:rPr>
          <w:color w:val="auto"/>
          <w:sz w:val="24"/>
        </w:rPr>
        <w:t>——</w:t>
      </w:r>
      <w:r>
        <w:rPr>
          <w:rFonts w:hint="eastAsia" w:hAnsi="宋体"/>
          <w:color w:val="auto"/>
          <w:kern w:val="24"/>
          <w:sz w:val="24"/>
        </w:rPr>
        <w:t>超声波在流体中逆流传播</w:t>
      </w:r>
      <w:r>
        <w:rPr>
          <w:rFonts w:hAnsi="宋体"/>
          <w:color w:val="auto"/>
          <w:kern w:val="24"/>
          <w:sz w:val="24"/>
        </w:rPr>
        <w:t>的时间</w:t>
      </w:r>
      <w:r>
        <w:rPr>
          <w:rFonts w:hint="eastAsia" w:hAnsi="宋体"/>
          <w:color w:val="auto"/>
          <w:kern w:val="24"/>
          <w:sz w:val="24"/>
        </w:rPr>
        <w:t>，s</w:t>
      </w:r>
      <w:r>
        <w:rPr>
          <w:rFonts w:hAnsi="宋体"/>
          <w:color w:val="auto"/>
          <w:kern w:val="24"/>
          <w:sz w:val="24"/>
        </w:rPr>
        <w:t>；</w:t>
      </w:r>
    </w:p>
    <w:p>
      <w:pPr>
        <w:adjustRightInd w:val="0"/>
        <w:snapToGrid w:val="0"/>
        <w:spacing w:line="300" w:lineRule="auto"/>
        <w:ind w:firstLine="1080" w:firstLineChars="450"/>
        <w:rPr>
          <w:color w:val="auto"/>
          <w:kern w:val="24"/>
          <w:sz w:val="24"/>
        </w:rPr>
      </w:pPr>
      <w:r>
        <w:rPr>
          <w:color w:val="auto"/>
          <w:kern w:val="24"/>
          <w:position w:val="-4"/>
          <w:sz w:val="24"/>
        </w:rPr>
        <w:object>
          <v:shape id="_x0000_i1029" o:spt="75" type="#_x0000_t75" style="height:12.75pt;width:22.55pt;" o:ole="t" filled="f" o:preferrelative="t" stroked="f" coordsize="21600,21600">
            <v:path/>
            <v:fill on="f" focussize="0,0"/>
            <v:stroke on="f"/>
            <v:imagedata r:id="rId24" o:title=""/>
            <o:lock v:ext="edit" grouping="f" rotation="f" text="f" aspectratio="t"/>
            <w10:wrap type="none"/>
            <w10:anchorlock/>
          </v:shape>
          <o:OLEObject Type="Embed" ProgID="Equation.3" ShapeID="_x0000_i1029" DrawAspect="Content" ObjectID="_1468075729" r:id="rId23">
            <o:LockedField>false</o:LockedField>
          </o:OLEObject>
        </w:object>
      </w:r>
      <w:r>
        <w:rPr>
          <w:rFonts w:hint="eastAsia"/>
          <w:color w:val="auto"/>
          <w:kern w:val="24"/>
          <w:sz w:val="24"/>
        </w:rPr>
        <w:t xml:space="preserve"> </w:t>
      </w:r>
      <w:r>
        <w:rPr>
          <w:color w:val="auto"/>
          <w:kern w:val="24"/>
          <w:sz w:val="24"/>
        </w:rPr>
        <w:t>——</w:t>
      </w:r>
      <w:r>
        <w:rPr>
          <w:rFonts w:hint="eastAsia"/>
          <w:color w:val="auto"/>
          <w:kern w:val="24"/>
          <w:sz w:val="24"/>
        </w:rPr>
        <w:t>声</w:t>
      </w:r>
      <w:r>
        <w:rPr>
          <w:rFonts w:hAnsi="宋体"/>
          <w:color w:val="auto"/>
          <w:kern w:val="24"/>
          <w:sz w:val="24"/>
        </w:rPr>
        <w:t>道长度</w:t>
      </w:r>
      <w:r>
        <w:rPr>
          <w:rFonts w:hint="eastAsia" w:hAnsi="宋体"/>
          <w:color w:val="auto"/>
          <w:kern w:val="24"/>
          <w:sz w:val="24"/>
        </w:rPr>
        <w:t>，m</w:t>
      </w:r>
      <w:r>
        <w:rPr>
          <w:rFonts w:hAnsi="宋体"/>
          <w:color w:val="auto"/>
          <w:kern w:val="24"/>
          <w:sz w:val="24"/>
        </w:rPr>
        <w:t>；</w:t>
      </w:r>
    </w:p>
    <w:p>
      <w:pPr>
        <w:adjustRightInd w:val="0"/>
        <w:snapToGrid w:val="0"/>
        <w:spacing w:line="300" w:lineRule="auto"/>
        <w:ind w:firstLine="1080" w:firstLineChars="450"/>
        <w:rPr>
          <w:rFonts w:hint="eastAsia"/>
          <w:color w:val="auto"/>
          <w:kern w:val="24"/>
          <w:sz w:val="24"/>
        </w:rPr>
      </w:pPr>
      <w:r>
        <w:rPr>
          <w:color w:val="auto"/>
          <w:kern w:val="24"/>
          <w:position w:val="-10"/>
          <w:sz w:val="24"/>
        </w:rPr>
        <w:object>
          <v:shape id="_x0000_i1030" o:spt="75" type="#_x0000_t75" style="height:17.05pt;width:19.25pt;" o:ole="t" filled="f" o:preferrelative="t" stroked="f" coordsize="21600,21600">
            <v:path/>
            <v:fill on="f" alignshape="1" focussize="0,0"/>
            <v:stroke on="f"/>
            <v:imagedata r:id="rId26" o:title=""/>
            <o:lock v:ext="edit" aspectratio="t"/>
            <w10:wrap type="none"/>
            <w10:anchorlock/>
          </v:shape>
          <o:OLEObject Type="Embed" ProgID="Equation.3" ShapeID="_x0000_i1030" DrawAspect="Content" ObjectID="_1468075730" r:id="rId25">
            <o:LockedField>false</o:LockedField>
          </o:OLEObject>
        </w:object>
      </w:r>
      <w:r>
        <w:rPr>
          <w:rFonts w:hint="eastAsia"/>
          <w:color w:val="auto"/>
          <w:kern w:val="24"/>
          <w:sz w:val="24"/>
        </w:rPr>
        <w:t xml:space="preserve"> </w:t>
      </w:r>
      <w:r>
        <w:rPr>
          <w:color w:val="auto"/>
          <w:kern w:val="24"/>
          <w:sz w:val="24"/>
        </w:rPr>
        <w:t>——</w:t>
      </w:r>
      <w:r>
        <w:rPr>
          <w:rFonts w:hAnsi="宋体"/>
          <w:color w:val="auto"/>
          <w:kern w:val="24"/>
          <w:sz w:val="24"/>
        </w:rPr>
        <w:t>声波在流体中传播的速度</w:t>
      </w:r>
      <w:r>
        <w:rPr>
          <w:rFonts w:hint="eastAsia" w:hAnsi="宋体"/>
          <w:color w:val="auto"/>
          <w:kern w:val="24"/>
          <w:sz w:val="24"/>
        </w:rPr>
        <w:t>，m/s</w:t>
      </w:r>
      <w:r>
        <w:rPr>
          <w:rFonts w:hAnsi="宋体"/>
          <w:color w:val="auto"/>
          <w:kern w:val="24"/>
          <w:sz w:val="24"/>
        </w:rPr>
        <w:t>；</w:t>
      </w:r>
    </w:p>
    <w:p>
      <w:pPr>
        <w:adjustRightInd w:val="0"/>
        <w:snapToGrid w:val="0"/>
        <w:spacing w:line="300" w:lineRule="auto"/>
        <w:ind w:firstLine="1080" w:firstLineChars="450"/>
        <w:rPr>
          <w:color w:val="auto"/>
          <w:kern w:val="24"/>
          <w:sz w:val="24"/>
        </w:rPr>
      </w:pPr>
      <w:r>
        <w:rPr>
          <w:color w:val="auto"/>
          <w:kern w:val="24"/>
          <w:position w:val="-10"/>
          <w:sz w:val="24"/>
        </w:rPr>
        <w:object>
          <v:shape id="_x0000_i1031" o:spt="75" type="#_x0000_t75" style="height:17pt;width:22.15pt;" o:ole="t" filled="f" o:preferrelative="t" stroked="f" coordsize="21600,21600">
            <v:path/>
            <v:fill on="f" alignshape="1" focussize="0,0"/>
            <v:stroke on="f"/>
            <v:imagedata r:id="rId28" o:title=""/>
            <o:lock v:ext="edit" aspectratio="t"/>
            <w10:wrap type="none"/>
            <w10:anchorlock/>
          </v:shape>
          <o:OLEObject Type="Embed" ProgID="Equation.3" ShapeID="_x0000_i1031" DrawAspect="Content" ObjectID="_1468075731" r:id="rId27">
            <o:LockedField>false</o:LockedField>
          </o:OLEObject>
        </w:object>
      </w:r>
      <w:r>
        <w:rPr>
          <w:rFonts w:hint="eastAsia"/>
          <w:color w:val="auto"/>
          <w:kern w:val="24"/>
          <w:sz w:val="24"/>
        </w:rPr>
        <w:t xml:space="preserve"> </w:t>
      </w:r>
      <w:r>
        <w:rPr>
          <w:color w:val="auto"/>
          <w:kern w:val="24"/>
          <w:sz w:val="24"/>
        </w:rPr>
        <w:t>——</w:t>
      </w:r>
      <w:r>
        <w:rPr>
          <w:rFonts w:hAnsi="宋体"/>
          <w:color w:val="auto"/>
          <w:kern w:val="24"/>
          <w:sz w:val="24"/>
        </w:rPr>
        <w:t>流体的平均速度</w:t>
      </w:r>
      <w:r>
        <w:rPr>
          <w:rFonts w:hint="eastAsia" w:hAnsi="宋体"/>
          <w:color w:val="auto"/>
          <w:kern w:val="24"/>
          <w:sz w:val="24"/>
        </w:rPr>
        <w:t>，m/s</w:t>
      </w:r>
      <w:r>
        <w:rPr>
          <w:rFonts w:hAnsi="宋体"/>
          <w:color w:val="auto"/>
          <w:kern w:val="24"/>
          <w:sz w:val="24"/>
        </w:rPr>
        <w:t>；</w:t>
      </w:r>
    </w:p>
    <w:p>
      <w:pPr>
        <w:adjustRightInd w:val="0"/>
        <w:snapToGrid w:val="0"/>
        <w:spacing w:line="300" w:lineRule="auto"/>
        <w:ind w:firstLine="1080" w:firstLineChars="450"/>
        <w:rPr>
          <w:rFonts w:hAnsi="宋体"/>
          <w:color w:val="auto"/>
          <w:kern w:val="24"/>
          <w:sz w:val="24"/>
        </w:rPr>
      </w:pPr>
      <w:r>
        <w:rPr>
          <w:color w:val="auto"/>
          <w:kern w:val="24"/>
          <w:position w:val="-10"/>
          <w:sz w:val="24"/>
        </w:rPr>
        <w:object>
          <v:shape id="_x0000_i1032" o:spt="75" type="#_x0000_t75" style="height:16pt;width:10pt;" o:ole="t" filled="f" o:preferrelative="t" stroked="f" coordsize="21600,21600">
            <v:path/>
            <v:fill on="f" focussize="0,0"/>
            <v:stroke on="f"/>
            <v:imagedata r:id="rId30" o:title=""/>
            <o:lock v:ext="edit" grouping="f" rotation="f" text="f" aspectratio="t"/>
            <w10:wrap type="none"/>
            <w10:anchorlock/>
          </v:shape>
          <o:OLEObject Type="Embed" ProgID="Equation.3" ShapeID="_x0000_i1032" DrawAspect="Content" ObjectID="_1468075732" r:id="rId29">
            <o:LockedField>false</o:LockedField>
          </o:OLEObject>
        </w:object>
      </w:r>
      <w:r>
        <w:rPr>
          <w:rFonts w:hint="eastAsia"/>
          <w:color w:val="auto"/>
          <w:kern w:val="24"/>
          <w:sz w:val="24"/>
        </w:rPr>
        <w:t xml:space="preserve">   </w:t>
      </w:r>
      <w:r>
        <w:rPr>
          <w:color w:val="auto"/>
          <w:kern w:val="24"/>
          <w:sz w:val="24"/>
        </w:rPr>
        <w:t>——</w:t>
      </w:r>
      <w:r>
        <w:rPr>
          <w:rFonts w:hAnsi="宋体"/>
          <w:color w:val="auto"/>
          <w:kern w:val="24"/>
          <w:sz w:val="24"/>
        </w:rPr>
        <w:t>声道角</w:t>
      </w:r>
      <w:r>
        <w:rPr>
          <w:rFonts w:hint="eastAsia" w:hAnsi="宋体"/>
          <w:color w:val="auto"/>
          <w:kern w:val="24"/>
          <w:sz w:val="24"/>
        </w:rPr>
        <w:t>，°</w:t>
      </w:r>
      <w:r>
        <w:rPr>
          <w:rFonts w:hAnsi="宋体"/>
          <w:color w:val="auto"/>
          <w:kern w:val="24"/>
          <w:sz w:val="24"/>
        </w:rPr>
        <w:t>；</w:t>
      </w:r>
    </w:p>
    <w:p>
      <w:pPr>
        <w:adjustRightInd w:val="0"/>
        <w:snapToGrid w:val="0"/>
        <w:spacing w:line="300" w:lineRule="auto"/>
        <w:ind w:firstLine="960" w:firstLineChars="400"/>
        <w:rPr>
          <w:rFonts w:hint="eastAsia" w:hAnsi="宋体"/>
          <w:color w:val="auto"/>
          <w:sz w:val="24"/>
        </w:rPr>
      </w:pPr>
      <w:r>
        <w:rPr>
          <w:rFonts w:hint="eastAsia" w:hAnsi="宋体"/>
          <w:color w:val="auto"/>
          <w:sz w:val="24"/>
        </w:rPr>
        <w:t>根据式（1）的两个公式</w:t>
      </w:r>
      <w:r>
        <w:rPr>
          <w:rFonts w:hAnsi="宋体"/>
          <w:color w:val="auto"/>
          <w:sz w:val="24"/>
        </w:rPr>
        <w:t>可推算出流体的</w:t>
      </w:r>
      <w:r>
        <w:rPr>
          <w:rFonts w:hint="eastAsia" w:hAnsi="宋体"/>
          <w:color w:val="auto"/>
          <w:sz w:val="24"/>
        </w:rPr>
        <w:t>平均</w:t>
      </w:r>
      <w:r>
        <w:rPr>
          <w:rFonts w:hAnsi="宋体"/>
          <w:color w:val="auto"/>
          <w:sz w:val="24"/>
        </w:rPr>
        <w:t>速度为：</w:t>
      </w:r>
    </w:p>
    <w:p>
      <w:pPr>
        <w:adjustRightInd w:val="0"/>
        <w:snapToGrid w:val="0"/>
        <w:spacing w:line="300" w:lineRule="auto"/>
        <w:ind w:firstLine="360" w:firstLineChars="150"/>
        <w:jc w:val="center"/>
        <w:rPr>
          <w:rFonts w:hint="eastAsia"/>
          <w:color w:val="auto"/>
          <w:sz w:val="24"/>
        </w:rPr>
      </w:pPr>
      <w:r>
        <w:rPr>
          <w:rFonts w:hint="eastAsia"/>
          <w:color w:val="auto"/>
          <w:sz w:val="24"/>
        </w:rPr>
        <w:t xml:space="preserve">   </w:t>
      </w:r>
      <w:r>
        <w:rPr>
          <w:color w:val="auto"/>
          <w:position w:val="-34"/>
          <w:sz w:val="24"/>
        </w:rPr>
        <w:object>
          <v:shape id="_x0000_i1033" o:spt="75" type="#_x0000_t75" style="height:36pt;width:112.7pt;" o:ole="t" filled="f" o:preferrelative="t" stroked="f" coordsize="21600,21600">
            <v:path/>
            <v:fill on="f" alignshape="1" focussize="0,0"/>
            <v:stroke on="f"/>
            <v:imagedata r:id="rId32" o:title=""/>
            <o:lock v:ext="edit" aspectratio="t"/>
            <w10:wrap type="none"/>
            <w10:anchorlock/>
          </v:shape>
          <o:OLEObject Type="Embed" ProgID="Equation.3" ShapeID="_x0000_i1033" DrawAspect="Content" ObjectID="_1468075733" r:id="rId31">
            <o:LockedField>false</o:LockedField>
          </o:OLEObject>
        </w:object>
      </w:r>
      <w:r>
        <w:rPr>
          <w:rFonts w:hint="eastAsia"/>
          <w:color w:val="auto"/>
          <w:sz w:val="24"/>
        </w:rPr>
        <w:t xml:space="preserve">                      （2）</w:t>
      </w:r>
    </w:p>
    <w:p>
      <w:pPr>
        <w:adjustRightInd w:val="0"/>
        <w:snapToGrid w:val="0"/>
        <w:spacing w:line="300" w:lineRule="auto"/>
        <w:ind w:firstLine="360" w:firstLineChars="150"/>
        <w:jc w:val="center"/>
        <w:rPr>
          <w:rFonts w:hint="eastAsia"/>
          <w:color w:val="auto"/>
          <w:sz w:val="24"/>
        </w:rPr>
      </w:pPr>
    </w:p>
    <w:p>
      <w:pPr>
        <w:adjustRightInd w:val="0"/>
        <w:snapToGrid w:val="0"/>
        <w:spacing w:line="300" w:lineRule="auto"/>
        <w:ind w:firstLine="480" w:firstLineChars="200"/>
        <w:rPr>
          <w:rFonts w:hint="eastAsia" w:hAnsi="宋体"/>
          <w:color w:val="auto"/>
          <w:sz w:val="24"/>
        </w:rPr>
      </w:pPr>
      <w:r>
        <w:rPr>
          <w:rFonts w:hint="eastAsia" w:hAnsi="宋体"/>
          <w:color w:val="auto"/>
          <w:sz w:val="24"/>
        </w:rPr>
        <w:t>封闭管道中燃气</w:t>
      </w:r>
      <w:r>
        <w:rPr>
          <w:rFonts w:hAnsi="宋体"/>
          <w:color w:val="auto"/>
          <w:sz w:val="24"/>
        </w:rPr>
        <w:t>的平均速度</w:t>
      </w:r>
      <w:r>
        <w:rPr>
          <w:rFonts w:hAnsi="宋体"/>
          <w:color w:val="auto"/>
          <w:position w:val="-10"/>
          <w:sz w:val="24"/>
        </w:rPr>
        <w:object>
          <v:shape id="_x0000_i1034" o:spt="75" type="#_x0000_t75" style="height:17pt;width:22.15pt;" o:ole="t" filled="f" o:preferrelative="t" stroked="f" coordsize="21600,21600">
            <v:path/>
            <v:fill on="f" alignshape="1" focussize="0,0"/>
            <v:stroke on="f"/>
            <v:imagedata r:id="rId34" o:title=""/>
            <o:lock v:ext="edit" aspectratio="t"/>
            <w10:wrap type="none"/>
            <w10:anchorlock/>
          </v:shape>
          <o:OLEObject Type="Embed" ProgID="Equation.3" ShapeID="_x0000_i1034" DrawAspect="Content" ObjectID="_1468075734" r:id="rId33">
            <o:LockedField>false</o:LockedField>
          </o:OLEObject>
        </w:object>
      </w:r>
      <w:r>
        <w:rPr>
          <w:rFonts w:hint="eastAsia" w:hAnsi="宋体"/>
          <w:color w:val="auto"/>
          <w:sz w:val="24"/>
        </w:rPr>
        <w:t>与</w:t>
      </w:r>
      <w:r>
        <w:rPr>
          <w:rFonts w:hAnsi="宋体"/>
          <w:color w:val="auto"/>
          <w:sz w:val="24"/>
        </w:rPr>
        <w:t>声道横截面面积</w:t>
      </w:r>
      <w:r>
        <w:rPr>
          <w:color w:val="auto"/>
          <w:kern w:val="24"/>
          <w:position w:val="-6"/>
          <w:sz w:val="24"/>
        </w:rPr>
        <w:object>
          <v:shape id="_x0000_i1035" o:spt="75" type="#_x0000_t75" style="height:13.95pt;width:11pt;" o:ole="t" filled="f" o:preferrelative="t" stroked="f" coordsize="21600,21600">
            <v:path/>
            <v:fill on="f" focussize="0,0"/>
            <v:stroke on="f"/>
            <v:imagedata r:id="rId36" o:title=""/>
            <o:lock v:ext="edit" grouping="f" rotation="f" text="f" aspectratio="t"/>
            <w10:wrap type="none"/>
            <w10:anchorlock/>
          </v:shape>
          <o:OLEObject Type="Embed" ProgID="Equation.3" ShapeID="_x0000_i1035" DrawAspect="Content" ObjectID="_1468075735" r:id="rId35">
            <o:LockedField>false</o:LockedField>
          </o:OLEObject>
        </w:object>
      </w:r>
      <w:r>
        <w:rPr>
          <w:rFonts w:hint="eastAsia"/>
          <w:color w:val="auto"/>
          <w:kern w:val="24"/>
          <w:sz w:val="24"/>
        </w:rPr>
        <w:t>关系</w:t>
      </w:r>
      <w:r>
        <w:rPr>
          <w:rFonts w:hint="eastAsia" w:hAnsi="宋体"/>
          <w:color w:val="auto"/>
          <w:sz w:val="24"/>
        </w:rPr>
        <w:t>，则可得到瞬时流量。</w:t>
      </w:r>
    </w:p>
    <w:p>
      <w:pPr>
        <w:adjustRightInd w:val="0"/>
        <w:snapToGrid w:val="0"/>
        <w:spacing w:line="300" w:lineRule="auto"/>
        <w:ind w:firstLine="480" w:firstLineChars="200"/>
        <w:jc w:val="center"/>
        <w:rPr>
          <w:rFonts w:hint="eastAsia"/>
          <w:color w:val="auto"/>
          <w:sz w:val="24"/>
        </w:rPr>
      </w:pPr>
      <w:r>
        <w:rPr>
          <w:color w:val="auto"/>
          <w:position w:val="-10"/>
          <w:sz w:val="24"/>
        </w:rPr>
        <w:object>
          <v:shape id="_x0000_i1036" o:spt="75" type="#_x0000_t75" style="height:17.7pt;width:100.9pt;" o:ole="t" filled="f" o:preferrelative="t" stroked="f" coordsize="21600,21600">
            <v:path/>
            <v:fill on="f" alignshape="1" focussize="0,0"/>
            <v:stroke on="f"/>
            <v:imagedata r:id="rId38" o:title=""/>
            <o:lock v:ext="edit" aspectratio="t"/>
            <w10:wrap type="none"/>
            <w10:anchorlock/>
          </v:shape>
          <o:OLEObject Type="Embed" ProgID="Equation.3" ShapeID="_x0000_i1036" DrawAspect="Content" ObjectID="_1468075736" r:id="rId37">
            <o:LockedField>false</o:LockedField>
          </o:OLEObject>
        </w:object>
      </w:r>
      <w:r>
        <w:rPr>
          <w:rFonts w:hint="eastAsia"/>
          <w:color w:val="auto"/>
          <w:sz w:val="24"/>
        </w:rPr>
        <w:t xml:space="preserve">                           （3）</w:t>
      </w:r>
    </w:p>
    <w:p>
      <w:pPr>
        <w:adjustRightInd w:val="0"/>
        <w:snapToGrid w:val="0"/>
        <w:spacing w:line="300" w:lineRule="auto"/>
        <w:ind w:firstLine="480" w:firstLineChars="200"/>
        <w:jc w:val="center"/>
        <w:rPr>
          <w:rFonts w:hint="eastAsia"/>
          <w:color w:val="auto"/>
          <w:sz w:val="24"/>
        </w:rPr>
      </w:pPr>
    </w:p>
    <w:p>
      <w:pPr>
        <w:tabs>
          <w:tab w:val="left" w:pos="1170"/>
        </w:tabs>
        <w:adjustRightInd w:val="0"/>
        <w:snapToGrid w:val="0"/>
        <w:spacing w:line="300" w:lineRule="auto"/>
        <w:ind w:firstLine="960" w:firstLineChars="400"/>
        <w:rPr>
          <w:rFonts w:hint="eastAsia"/>
          <w:color w:val="auto"/>
          <w:sz w:val="24"/>
        </w:rPr>
      </w:pPr>
      <w:r>
        <w:rPr>
          <w:rFonts w:hint="eastAsia"/>
          <w:color w:val="auto"/>
          <w:sz w:val="24"/>
        </w:rPr>
        <w:t>式中：</w:t>
      </w:r>
    </w:p>
    <w:p>
      <w:pPr>
        <w:tabs>
          <w:tab w:val="left" w:pos="1170"/>
        </w:tabs>
        <w:adjustRightInd w:val="0"/>
        <w:snapToGrid w:val="0"/>
        <w:spacing w:line="300" w:lineRule="auto"/>
        <w:ind w:firstLine="1680" w:firstLineChars="700"/>
        <w:rPr>
          <w:rFonts w:hint="eastAsia"/>
          <w:color w:val="auto"/>
          <w:sz w:val="24"/>
        </w:rPr>
      </w:pPr>
      <w:r>
        <w:rPr>
          <w:color w:val="auto"/>
          <w:kern w:val="24"/>
          <w:position w:val="-6"/>
          <w:sz w:val="24"/>
        </w:rPr>
        <w:object>
          <v:shape id="_x0000_i1037" o:spt="75" type="#_x0000_t75" style="height:13.9pt;width:11pt;" o:ole="t" filled="f" o:preferrelative="t" stroked="f" coordsize="21600,21600">
            <v:path/>
            <v:fill on="f" alignshape="1" focussize="0,0"/>
            <v:stroke on="f"/>
            <v:imagedata r:id="rId40" o:title=""/>
            <o:lock v:ext="edit" aspectratio="t"/>
            <w10:wrap type="none"/>
            <w10:anchorlock/>
          </v:shape>
          <o:OLEObject Type="Embed" ProgID="Equation.3" ShapeID="_x0000_i1037" DrawAspect="Content" ObjectID="_1468075737" r:id="rId39">
            <o:LockedField>false</o:LockedField>
          </o:OLEObject>
        </w:object>
      </w:r>
      <w:r>
        <w:rPr>
          <w:color w:val="auto"/>
          <w:sz w:val="24"/>
        </w:rPr>
        <w:t xml:space="preserve"> ——</w:t>
      </w:r>
      <w:r>
        <w:rPr>
          <w:rFonts w:hAnsi="宋体"/>
          <w:color w:val="auto"/>
          <w:sz w:val="24"/>
        </w:rPr>
        <w:t>声道横截面面积</w:t>
      </w:r>
      <w:r>
        <w:rPr>
          <w:rFonts w:hint="eastAsia" w:hAnsi="宋体"/>
          <w:color w:val="auto"/>
          <w:sz w:val="24"/>
        </w:rPr>
        <w:t>，m</w:t>
      </w:r>
      <w:r>
        <w:rPr>
          <w:rFonts w:hAnsi="宋体"/>
          <w:color w:val="auto"/>
          <w:sz w:val="24"/>
          <w:vertAlign w:val="superscript"/>
        </w:rPr>
        <w:t>2</w:t>
      </w:r>
      <w:r>
        <w:rPr>
          <w:rFonts w:hint="eastAsia" w:hAnsi="宋体"/>
          <w:color w:val="auto"/>
          <w:sz w:val="24"/>
        </w:rPr>
        <w:t>；</w:t>
      </w:r>
    </w:p>
    <w:p>
      <w:pPr>
        <w:tabs>
          <w:tab w:val="left" w:pos="1170"/>
        </w:tabs>
        <w:adjustRightInd w:val="0"/>
        <w:snapToGrid w:val="0"/>
        <w:spacing w:line="300" w:lineRule="auto"/>
        <w:ind w:firstLine="1680" w:firstLineChars="700"/>
        <w:rPr>
          <w:rFonts w:hint="eastAsia" w:hAnsi="宋体"/>
          <w:color w:val="auto"/>
          <w:sz w:val="24"/>
        </w:rPr>
      </w:pPr>
      <w:r>
        <w:rPr>
          <w:color w:val="auto"/>
          <w:kern w:val="24"/>
          <w:position w:val="-10"/>
          <w:sz w:val="24"/>
        </w:rPr>
        <w:object>
          <v:shape id="_x0000_i1038" o:spt="75" type="#_x0000_t75" style="height:13pt;width:10pt;" o:ole="t" filled="f" o:preferrelative="t" stroked="f" coordsize="21600,21600">
            <v:path/>
            <v:fill on="f" focussize="0,0"/>
            <v:stroke on="f"/>
            <v:imagedata r:id="rId42" o:title=""/>
            <o:lock v:ext="edit" grouping="f" rotation="f" text="f" aspectratio="t"/>
            <w10:wrap type="none"/>
            <w10:anchorlock/>
          </v:shape>
          <o:OLEObject Type="Embed" ProgID="Equation.3" ShapeID="_x0000_i1038" DrawAspect="Content" ObjectID="_1468075738" r:id="rId41">
            <o:LockedField>false</o:LockedField>
          </o:OLEObject>
        </w:object>
      </w:r>
      <w:r>
        <w:rPr>
          <w:rFonts w:hint="eastAsia"/>
          <w:color w:val="auto"/>
          <w:sz w:val="24"/>
        </w:rPr>
        <w:t xml:space="preserve"> </w:t>
      </w:r>
      <w:r>
        <w:rPr>
          <w:color w:val="auto"/>
          <w:sz w:val="24"/>
        </w:rPr>
        <w:t>——</w:t>
      </w:r>
      <w:r>
        <w:rPr>
          <w:rFonts w:hAnsi="宋体"/>
          <w:color w:val="auto"/>
          <w:sz w:val="24"/>
        </w:rPr>
        <w:t>瞬时流量</w:t>
      </w:r>
      <w:r>
        <w:rPr>
          <w:rFonts w:hint="eastAsia" w:hAnsi="宋体"/>
          <w:color w:val="auto"/>
          <w:sz w:val="24"/>
        </w:rPr>
        <w:t>，m</w:t>
      </w:r>
      <w:r>
        <w:rPr>
          <w:rFonts w:hint="eastAsia" w:hAnsi="宋体"/>
          <w:color w:val="auto"/>
          <w:sz w:val="24"/>
          <w:vertAlign w:val="superscript"/>
        </w:rPr>
        <w:t>3</w:t>
      </w:r>
      <w:r>
        <w:rPr>
          <w:rFonts w:hint="eastAsia" w:hAnsi="宋体"/>
          <w:color w:val="auto"/>
          <w:sz w:val="24"/>
        </w:rPr>
        <w:t>/h。</w:t>
      </w:r>
    </w:p>
    <w:p>
      <w:pPr>
        <w:tabs>
          <w:tab w:val="left" w:pos="1170"/>
        </w:tabs>
        <w:adjustRightInd w:val="0"/>
        <w:snapToGrid w:val="0"/>
        <w:spacing w:line="300" w:lineRule="auto"/>
        <w:ind w:firstLine="480"/>
        <w:jc w:val="center"/>
        <w:rPr>
          <w:rFonts w:hint="eastAsia"/>
          <w:b/>
          <w:color w:val="auto"/>
          <w:sz w:val="24"/>
        </w:rPr>
      </w:pPr>
    </w:p>
    <w:p>
      <w:pPr>
        <w:adjustRightInd w:val="0"/>
        <w:snapToGrid w:val="0"/>
        <w:spacing w:line="300" w:lineRule="auto"/>
        <w:rPr>
          <w:rFonts w:hint="eastAsia"/>
          <w:color w:val="auto"/>
          <w:sz w:val="24"/>
        </w:rPr>
      </w:pPr>
      <w:r>
        <w:rPr>
          <w:rFonts w:hint="eastAsia"/>
          <w:color w:val="auto"/>
          <w:sz w:val="24"/>
        </w:rPr>
        <w:t>4.2 结构</w:t>
      </w:r>
    </w:p>
    <w:p>
      <w:pPr>
        <w:pStyle w:val="24"/>
        <w:snapToGrid w:val="0"/>
        <w:spacing w:line="300" w:lineRule="auto"/>
        <w:ind w:firstLine="480" w:firstLineChars="0"/>
        <w:rPr>
          <w:rFonts w:hint="eastAsia" w:ascii="Times New Roman" w:hAnsi="宋体"/>
          <w:color w:val="auto"/>
          <w:sz w:val="24"/>
          <w:szCs w:val="24"/>
        </w:rPr>
      </w:pPr>
      <w:r>
        <w:rPr>
          <w:rFonts w:ascii="Times New Roman" w:hAnsi="宋体"/>
          <w:color w:val="auto"/>
          <w:sz w:val="24"/>
          <w:szCs w:val="24"/>
        </w:rPr>
        <w:t>燃气表</w:t>
      </w:r>
      <w:r>
        <w:rPr>
          <w:rFonts w:hint="eastAsia" w:ascii="Times New Roman" w:hAnsi="宋体"/>
          <w:color w:val="auto"/>
          <w:sz w:val="24"/>
          <w:szCs w:val="24"/>
        </w:rPr>
        <w:t>通常由</w:t>
      </w:r>
      <w:r>
        <w:rPr>
          <w:rFonts w:ascii="Times New Roman" w:hAnsi="宋体"/>
          <w:color w:val="auto"/>
          <w:sz w:val="24"/>
          <w:szCs w:val="24"/>
        </w:rPr>
        <w:t>外壳、</w:t>
      </w:r>
      <w:r>
        <w:rPr>
          <w:rFonts w:hint="eastAsia" w:ascii="Times New Roman" w:hAnsi="宋体"/>
          <w:color w:val="auto"/>
          <w:sz w:val="24"/>
          <w:szCs w:val="24"/>
        </w:rPr>
        <w:t>流体</w:t>
      </w:r>
      <w:r>
        <w:rPr>
          <w:rFonts w:ascii="Times New Roman" w:hAnsi="宋体"/>
          <w:color w:val="auto"/>
          <w:sz w:val="24"/>
          <w:szCs w:val="24"/>
        </w:rPr>
        <w:t>通道、超声波传感器、</w:t>
      </w:r>
      <w:r>
        <w:rPr>
          <w:rFonts w:hint="eastAsia" w:ascii="Times New Roman" w:hAnsi="宋体"/>
          <w:color w:val="auto"/>
          <w:sz w:val="24"/>
          <w:szCs w:val="24"/>
        </w:rPr>
        <w:t>显示器、</w:t>
      </w:r>
      <w:r>
        <w:rPr>
          <w:rFonts w:ascii="Times New Roman" w:hAnsi="宋体"/>
          <w:color w:val="auto"/>
          <w:sz w:val="24"/>
          <w:szCs w:val="24"/>
        </w:rPr>
        <w:t>主控模块</w:t>
      </w:r>
      <w:r>
        <w:rPr>
          <w:rFonts w:hint="eastAsia" w:ascii="Times New Roman" w:hAnsi="宋体"/>
          <w:color w:val="auto"/>
          <w:sz w:val="24"/>
          <w:szCs w:val="24"/>
        </w:rPr>
        <w:t>和</w:t>
      </w:r>
      <w:r>
        <w:rPr>
          <w:rFonts w:ascii="Times New Roman" w:hAnsi="宋体"/>
          <w:color w:val="auto"/>
          <w:sz w:val="24"/>
          <w:szCs w:val="24"/>
        </w:rPr>
        <w:t>电池等部件组成</w:t>
      </w:r>
      <w:r>
        <w:rPr>
          <w:rFonts w:hint="eastAsia" w:ascii="Times New Roman" w:hAnsi="宋体"/>
          <w:color w:val="auto"/>
          <w:sz w:val="24"/>
          <w:szCs w:val="24"/>
        </w:rPr>
        <w:t>，也可带有流体整流器、温度/压力信号采集器、通讯信号端口和控制阀门，如图2</w:t>
      </w:r>
      <w:r>
        <w:rPr>
          <w:rFonts w:hint="eastAsia" w:hAnsi="宋体"/>
          <w:color w:val="auto"/>
          <w:sz w:val="24"/>
        </w:rPr>
        <w:t>所示</w:t>
      </w:r>
      <w:r>
        <w:rPr>
          <w:rFonts w:hint="eastAsia" w:ascii="Times New Roman" w:hAnsi="宋体"/>
          <w:color w:val="auto"/>
          <w:sz w:val="24"/>
          <w:szCs w:val="24"/>
        </w:rPr>
        <w:t>。</w:t>
      </w:r>
    </w:p>
    <w:p>
      <w:pPr>
        <w:pStyle w:val="24"/>
        <w:snapToGrid w:val="0"/>
        <w:spacing w:line="300" w:lineRule="auto"/>
        <w:ind w:firstLine="480" w:firstLineChars="0"/>
        <w:rPr>
          <w:rFonts w:hint="eastAsia" w:ascii="Times New Roman" w:hAnsi="宋体"/>
          <w:color w:val="auto"/>
          <w:sz w:val="24"/>
          <w:szCs w:val="24"/>
        </w:rPr>
      </w:pPr>
    </w:p>
    <w:p>
      <w:pPr>
        <w:pStyle w:val="24"/>
        <w:snapToGrid w:val="0"/>
        <w:spacing w:line="300" w:lineRule="auto"/>
        <w:ind w:firstLine="0" w:firstLineChars="0"/>
        <w:jc w:val="center"/>
        <w:rPr>
          <w:rFonts w:hint="eastAsia" w:ascii="Times New Roman" w:hAnsi="宋体"/>
          <w:color w:val="auto"/>
          <w:sz w:val="24"/>
          <w:szCs w:val="24"/>
        </w:rPr>
      </w:pPr>
      <w:r>
        <w:rPr>
          <w:rFonts w:hint="eastAsia" w:ascii="Times New Roman" w:hAnsi="宋体"/>
          <w:color w:val="auto"/>
          <w:sz w:val="24"/>
          <w:szCs w:val="24"/>
        </w:rPr>
        <w:drawing>
          <wp:inline distT="0" distB="0" distL="114300" distR="114300">
            <wp:extent cx="2882265" cy="1813560"/>
            <wp:effectExtent l="0" t="0" r="13335" b="15240"/>
            <wp:docPr id="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9"/>
                    <pic:cNvPicPr>
                      <a:picLocks noChangeAspect="1"/>
                    </pic:cNvPicPr>
                  </pic:nvPicPr>
                  <pic:blipFill>
                    <a:blip r:embed="rId43"/>
                    <a:stretch>
                      <a:fillRect/>
                    </a:stretch>
                  </pic:blipFill>
                  <pic:spPr>
                    <a:xfrm>
                      <a:off x="0" y="0"/>
                      <a:ext cx="2882265" cy="1813560"/>
                    </a:xfrm>
                    <a:prstGeom prst="rect">
                      <a:avLst/>
                    </a:prstGeom>
                    <a:noFill/>
                    <a:ln w="9525">
                      <a:noFill/>
                    </a:ln>
                  </pic:spPr>
                </pic:pic>
              </a:graphicData>
            </a:graphic>
          </wp:inline>
        </w:drawing>
      </w:r>
    </w:p>
    <w:p>
      <w:pPr>
        <w:pStyle w:val="24"/>
        <w:snapToGrid w:val="0"/>
        <w:spacing w:line="300" w:lineRule="auto"/>
        <w:ind w:firstLine="0" w:firstLineChars="0"/>
        <w:jc w:val="center"/>
        <w:rPr>
          <w:rFonts w:hint="eastAsia" w:ascii="Times New Roman" w:hAnsi="宋体"/>
          <w:color w:val="auto"/>
          <w:sz w:val="24"/>
          <w:szCs w:val="24"/>
        </w:rPr>
      </w:pPr>
      <w:r>
        <w:rPr>
          <w:rFonts w:hint="eastAsia" w:ascii="Times New Roman" w:hAnsi="宋体"/>
          <w:color w:val="auto"/>
          <w:sz w:val="24"/>
          <w:szCs w:val="24"/>
        </w:rPr>
        <w:t xml:space="preserve">图2 </w:t>
      </w:r>
      <w:r>
        <w:rPr>
          <w:rFonts w:ascii="Times New Roman" w:hAnsi="宋体"/>
          <w:color w:val="auto"/>
          <w:sz w:val="24"/>
          <w:szCs w:val="24"/>
        </w:rPr>
        <w:t>超声波燃气表</w:t>
      </w:r>
      <w:r>
        <w:rPr>
          <w:rFonts w:hint="eastAsia" w:ascii="Times New Roman" w:hAnsi="宋体"/>
          <w:color w:val="auto"/>
          <w:sz w:val="24"/>
          <w:szCs w:val="24"/>
        </w:rPr>
        <w:t>一般结构示意图</w:t>
      </w:r>
    </w:p>
    <w:p>
      <w:pPr>
        <w:pStyle w:val="24"/>
        <w:snapToGrid w:val="0"/>
        <w:spacing w:line="300" w:lineRule="auto"/>
        <w:ind w:firstLine="480" w:firstLineChars="0"/>
        <w:rPr>
          <w:rFonts w:hint="eastAsia" w:ascii="Times New Roman" w:hAnsi="宋体"/>
          <w:color w:val="auto"/>
          <w:sz w:val="24"/>
          <w:szCs w:val="24"/>
        </w:rPr>
      </w:pPr>
      <w:r>
        <w:rPr>
          <w:rFonts w:hint="eastAsia" w:ascii="Times New Roman" w:hAnsi="宋体"/>
          <w:color w:val="auto"/>
          <w:sz w:val="24"/>
          <w:szCs w:val="24"/>
        </w:rPr>
        <w:t xml:space="preserve">1 显示器；2 </w:t>
      </w:r>
      <w:r>
        <w:rPr>
          <w:rFonts w:ascii="Times New Roman" w:hAnsi="宋体"/>
          <w:color w:val="auto"/>
          <w:sz w:val="24"/>
          <w:szCs w:val="24"/>
        </w:rPr>
        <w:t>电池</w:t>
      </w:r>
      <w:r>
        <w:rPr>
          <w:rFonts w:hint="eastAsia" w:ascii="Times New Roman" w:hAnsi="宋体"/>
          <w:color w:val="auto"/>
          <w:sz w:val="24"/>
          <w:szCs w:val="24"/>
        </w:rPr>
        <w:t xml:space="preserve">；3 </w:t>
      </w:r>
      <w:r>
        <w:rPr>
          <w:rFonts w:ascii="Times New Roman" w:hAnsi="宋体"/>
          <w:color w:val="auto"/>
          <w:sz w:val="24"/>
          <w:szCs w:val="24"/>
        </w:rPr>
        <w:t>主控模块</w:t>
      </w:r>
      <w:r>
        <w:rPr>
          <w:rFonts w:hint="eastAsia" w:ascii="Times New Roman" w:hAnsi="宋体"/>
          <w:color w:val="auto"/>
          <w:sz w:val="24"/>
          <w:szCs w:val="24"/>
        </w:rPr>
        <w:t xml:space="preserve">；4 流体流动方向；5 </w:t>
      </w:r>
      <w:r>
        <w:rPr>
          <w:rFonts w:ascii="Times New Roman" w:hAnsi="宋体"/>
          <w:color w:val="auto"/>
          <w:sz w:val="24"/>
          <w:szCs w:val="24"/>
        </w:rPr>
        <w:t>超声波传感器</w:t>
      </w:r>
      <w:r>
        <w:rPr>
          <w:rFonts w:hint="eastAsia" w:ascii="Times New Roman" w:hAnsi="宋体"/>
          <w:color w:val="auto"/>
          <w:sz w:val="24"/>
          <w:szCs w:val="24"/>
        </w:rPr>
        <w:t>；6 控制阀门（可选用）；7 外壳；8 流体</w:t>
      </w:r>
      <w:r>
        <w:rPr>
          <w:rFonts w:ascii="Times New Roman" w:hAnsi="宋体"/>
          <w:color w:val="auto"/>
          <w:sz w:val="24"/>
          <w:szCs w:val="24"/>
        </w:rPr>
        <w:t>通道</w:t>
      </w:r>
      <w:r>
        <w:rPr>
          <w:rFonts w:hint="eastAsia" w:ascii="Times New Roman" w:hAnsi="宋体"/>
          <w:color w:val="auto"/>
          <w:sz w:val="24"/>
          <w:szCs w:val="24"/>
        </w:rPr>
        <w:t>；9 流体整流器（可选用）</w:t>
      </w:r>
    </w:p>
    <w:p>
      <w:pPr>
        <w:pStyle w:val="24"/>
        <w:snapToGrid w:val="0"/>
        <w:spacing w:line="300" w:lineRule="auto"/>
        <w:ind w:firstLine="480" w:firstLineChars="0"/>
        <w:rPr>
          <w:rFonts w:hint="eastAsia" w:ascii="Times New Roman" w:hAnsi="宋体"/>
          <w:color w:val="auto"/>
          <w:sz w:val="24"/>
          <w:szCs w:val="24"/>
        </w:rPr>
      </w:pPr>
    </w:p>
    <w:p>
      <w:pPr>
        <w:spacing w:line="300" w:lineRule="auto"/>
        <w:rPr>
          <w:color w:val="auto"/>
          <w:sz w:val="24"/>
        </w:rPr>
      </w:pPr>
      <w:r>
        <w:rPr>
          <w:color w:val="auto"/>
          <w:sz w:val="24"/>
        </w:rPr>
        <w:t>4.</w:t>
      </w:r>
      <w:r>
        <w:rPr>
          <w:rFonts w:hint="eastAsia"/>
          <w:color w:val="auto"/>
          <w:sz w:val="24"/>
        </w:rPr>
        <w:t>3</w:t>
      </w:r>
      <w:r>
        <w:rPr>
          <w:color w:val="auto"/>
          <w:sz w:val="24"/>
        </w:rPr>
        <w:t xml:space="preserve"> </w:t>
      </w:r>
      <w:r>
        <w:rPr>
          <w:rFonts w:hAnsi="宋体"/>
          <w:color w:val="auto"/>
          <w:sz w:val="24"/>
        </w:rPr>
        <w:t>用途</w:t>
      </w:r>
    </w:p>
    <w:p>
      <w:pPr>
        <w:spacing w:line="300" w:lineRule="auto"/>
        <w:ind w:firstLine="420"/>
        <w:rPr>
          <w:color w:val="auto"/>
          <w:sz w:val="24"/>
        </w:rPr>
      </w:pPr>
      <w:r>
        <w:rPr>
          <w:rFonts w:hint="eastAsia" w:ascii="宋体"/>
          <w:color w:val="auto"/>
          <w:sz w:val="24"/>
        </w:rPr>
        <w:t>燃气表主要用于计量燃气的累积体积流量，应用在民用及工商业用的燃气计量场合。</w:t>
      </w:r>
    </w:p>
    <w:p>
      <w:pPr>
        <w:pStyle w:val="4"/>
        <w:spacing w:before="240" w:after="240" w:line="240" w:lineRule="auto"/>
        <w:rPr>
          <w:color w:val="auto"/>
          <w:sz w:val="24"/>
          <w:szCs w:val="24"/>
        </w:rPr>
      </w:pPr>
      <w:bookmarkStart w:id="138" w:name="_Toc468349707"/>
      <w:r>
        <w:rPr>
          <w:color w:val="auto"/>
          <w:sz w:val="24"/>
          <w:szCs w:val="24"/>
        </w:rPr>
        <w:t xml:space="preserve">5 </w:t>
      </w:r>
      <w:bookmarkStart w:id="139" w:name="_Toc295726472"/>
      <w:bookmarkStart w:id="140" w:name="_Toc301019270"/>
      <w:bookmarkStart w:id="141" w:name="_Toc301019308"/>
      <w:bookmarkStart w:id="142" w:name="_Toc301019376"/>
      <w:bookmarkStart w:id="143" w:name="_Toc327459468"/>
      <w:r>
        <w:rPr>
          <w:rFonts w:hAnsi="宋体"/>
          <w:color w:val="auto"/>
          <w:sz w:val="24"/>
          <w:szCs w:val="24"/>
        </w:rPr>
        <w:t>计量性能要求</w:t>
      </w:r>
      <w:bookmarkEnd w:id="138"/>
      <w:bookmarkEnd w:id="139"/>
      <w:bookmarkEnd w:id="140"/>
      <w:bookmarkEnd w:id="141"/>
      <w:bookmarkEnd w:id="142"/>
      <w:bookmarkEnd w:id="143"/>
    </w:p>
    <w:p>
      <w:pPr>
        <w:tabs>
          <w:tab w:val="left" w:pos="426"/>
        </w:tabs>
        <w:spacing w:line="300" w:lineRule="auto"/>
        <w:rPr>
          <w:rFonts w:hint="eastAsia" w:hAnsi="宋体"/>
          <w:color w:val="auto"/>
          <w:sz w:val="24"/>
        </w:rPr>
      </w:pPr>
      <w:r>
        <w:rPr>
          <w:rFonts w:hint="eastAsia" w:hAnsi="宋体"/>
          <w:color w:val="auto"/>
          <w:sz w:val="24"/>
        </w:rPr>
        <w:t>5.1 流量范围</w:t>
      </w:r>
    </w:p>
    <w:p>
      <w:pPr>
        <w:tabs>
          <w:tab w:val="left" w:pos="426"/>
        </w:tabs>
        <w:spacing w:line="300" w:lineRule="auto"/>
        <w:ind w:firstLine="480"/>
        <w:rPr>
          <w:rFonts w:hint="eastAsia" w:hAnsi="宋体"/>
          <w:color w:val="auto"/>
          <w:sz w:val="24"/>
        </w:rPr>
      </w:pPr>
      <w:r>
        <w:rPr>
          <w:rFonts w:hint="eastAsia" w:hAnsi="宋体"/>
          <w:color w:val="auto"/>
          <w:sz w:val="24"/>
        </w:rPr>
        <w:t>燃气表</w:t>
      </w:r>
      <w:r>
        <w:rPr>
          <w:rFonts w:hAnsi="宋体"/>
          <w:color w:val="auto"/>
          <w:sz w:val="24"/>
        </w:rPr>
        <w:t>流量范围应符合表</w:t>
      </w:r>
      <w:r>
        <w:rPr>
          <w:rFonts w:hint="eastAsia"/>
          <w:color w:val="auto"/>
          <w:sz w:val="24"/>
        </w:rPr>
        <w:t>1</w:t>
      </w:r>
      <w:r>
        <w:rPr>
          <w:rFonts w:hAnsi="宋体"/>
          <w:color w:val="auto"/>
          <w:sz w:val="24"/>
        </w:rPr>
        <w:t>的规定</w:t>
      </w:r>
      <w:r>
        <w:rPr>
          <w:rFonts w:hint="eastAsia" w:hAnsi="宋体"/>
          <w:color w:val="auto"/>
          <w:sz w:val="24"/>
        </w:rPr>
        <w:t>。</w:t>
      </w:r>
    </w:p>
    <w:p>
      <w:pPr>
        <w:jc w:val="center"/>
        <w:rPr>
          <w:rFonts w:ascii="黑体" w:eastAsia="黑体"/>
          <w:color w:val="auto"/>
        </w:rPr>
      </w:pPr>
      <w:r>
        <w:rPr>
          <w:rFonts w:hint="eastAsia" w:ascii="黑体" w:eastAsia="黑体"/>
          <w:color w:val="auto"/>
        </w:rPr>
        <w:t xml:space="preserve">                       </w:t>
      </w:r>
      <w:r>
        <w:rPr>
          <w:rFonts w:hAnsi="宋体"/>
          <w:color w:val="auto"/>
          <w:sz w:val="24"/>
        </w:rPr>
        <w:t>表</w:t>
      </w:r>
      <w:r>
        <w:rPr>
          <w:color w:val="auto"/>
          <w:sz w:val="24"/>
        </w:rPr>
        <w:t xml:space="preserve">1 </w:t>
      </w:r>
      <w:r>
        <w:rPr>
          <w:rFonts w:hAnsi="宋体"/>
          <w:color w:val="auto"/>
          <w:sz w:val="24"/>
        </w:rPr>
        <w:t>流量范围</w:t>
      </w:r>
      <w:r>
        <w:rPr>
          <w:rFonts w:ascii="黑体" w:eastAsia="黑体"/>
          <w:color w:val="auto"/>
        </w:rPr>
        <w:t xml:space="preserve">       </w:t>
      </w:r>
      <w:r>
        <w:rPr>
          <w:rFonts w:hint="eastAsia" w:ascii="黑体" w:eastAsia="黑体"/>
          <w:color w:val="auto"/>
        </w:rPr>
        <w:t xml:space="preserve">       </w:t>
      </w:r>
      <w:r>
        <w:rPr>
          <w:rFonts w:hAnsi="宋体"/>
          <w:color w:val="auto"/>
        </w:rPr>
        <w:t>（单位：</w:t>
      </w:r>
      <w:r>
        <w:rPr>
          <w:color w:val="auto"/>
        </w:rPr>
        <w:t>m</w:t>
      </w:r>
      <w:r>
        <w:rPr>
          <w:color w:val="auto"/>
          <w:vertAlign w:val="superscript"/>
        </w:rPr>
        <w:t>3</w:t>
      </w:r>
      <w:r>
        <w:rPr>
          <w:color w:val="auto"/>
        </w:rPr>
        <w:t>/h</w:t>
      </w:r>
      <w:r>
        <w:rPr>
          <w:rFonts w:hAnsi="宋体"/>
          <w:color w:val="auto"/>
        </w:rPr>
        <w:t>）</w:t>
      </w:r>
      <w:r>
        <w:rPr>
          <w:rFonts w:ascii="黑体" w:eastAsia="黑体"/>
          <w:color w:val="auto"/>
        </w:rPr>
        <w:t xml:space="preserve"> </w:t>
      </w:r>
    </w:p>
    <w:tbl>
      <w:tblPr>
        <w:tblStyle w:val="18"/>
        <w:tblW w:w="85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2143"/>
        <w:gridCol w:w="225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rFonts w:ascii="Times New Roman"/>
                <w:color w:val="auto"/>
                <w:szCs w:val="21"/>
              </w:rPr>
            </w:pPr>
            <w:r>
              <w:rPr>
                <w:rFonts w:ascii="Times New Roman" w:hAnsi="宋体"/>
                <w:color w:val="auto"/>
                <w:szCs w:val="21"/>
              </w:rPr>
              <w:t>序号</w:t>
            </w:r>
          </w:p>
        </w:tc>
        <w:tc>
          <w:tcPr>
            <w:tcW w:w="2143" w:type="dxa"/>
            <w:noWrap w:val="0"/>
            <w:vAlign w:val="center"/>
          </w:tcPr>
          <w:p>
            <w:pPr>
              <w:pStyle w:val="24"/>
              <w:ind w:firstLine="0" w:firstLineChars="0"/>
              <w:jc w:val="center"/>
              <w:rPr>
                <w:rFonts w:ascii="Times New Roman"/>
                <w:color w:val="auto"/>
                <w:szCs w:val="21"/>
              </w:rPr>
            </w:pPr>
            <w:r>
              <w:rPr>
                <w:rFonts w:ascii="Times New Roman"/>
                <w:color w:val="auto"/>
                <w:szCs w:val="21"/>
              </w:rPr>
              <w:t>最大流量</w:t>
            </w:r>
            <w:r>
              <w:rPr>
                <w:rFonts w:ascii="Times New Roman"/>
                <w:i/>
                <w:color w:val="auto"/>
                <w:szCs w:val="21"/>
              </w:rPr>
              <w:t>q</w:t>
            </w:r>
            <w:r>
              <w:rPr>
                <w:rFonts w:ascii="Times New Roman"/>
                <w:color w:val="auto"/>
                <w:szCs w:val="21"/>
                <w:vertAlign w:val="subscript"/>
              </w:rPr>
              <w:t>max</w:t>
            </w:r>
          </w:p>
        </w:tc>
        <w:tc>
          <w:tcPr>
            <w:tcW w:w="2252" w:type="dxa"/>
            <w:noWrap w:val="0"/>
            <w:vAlign w:val="center"/>
          </w:tcPr>
          <w:p>
            <w:pPr>
              <w:pStyle w:val="24"/>
              <w:ind w:firstLine="0" w:firstLineChars="0"/>
              <w:jc w:val="center"/>
              <w:rPr>
                <w:rFonts w:ascii="Times New Roman"/>
                <w:color w:val="auto"/>
                <w:szCs w:val="21"/>
              </w:rPr>
            </w:pPr>
            <w:r>
              <w:rPr>
                <w:rFonts w:ascii="Times New Roman"/>
                <w:color w:val="auto"/>
                <w:szCs w:val="21"/>
              </w:rPr>
              <w:t>最小流量</w:t>
            </w:r>
            <w:r>
              <w:rPr>
                <w:rFonts w:ascii="Times New Roman"/>
                <w:i/>
                <w:color w:val="auto"/>
                <w:szCs w:val="21"/>
              </w:rPr>
              <w:t>q</w:t>
            </w:r>
            <w:r>
              <w:rPr>
                <w:rFonts w:ascii="Times New Roman"/>
                <w:color w:val="auto"/>
                <w:szCs w:val="21"/>
                <w:vertAlign w:val="subscript"/>
              </w:rPr>
              <w:t>min</w:t>
            </w:r>
          </w:p>
        </w:tc>
        <w:tc>
          <w:tcPr>
            <w:tcW w:w="2268" w:type="dxa"/>
            <w:noWrap w:val="0"/>
            <w:vAlign w:val="center"/>
          </w:tcPr>
          <w:p>
            <w:pPr>
              <w:pStyle w:val="24"/>
              <w:ind w:firstLine="0" w:firstLineChars="0"/>
              <w:jc w:val="center"/>
              <w:rPr>
                <w:rFonts w:ascii="Times New Roman"/>
                <w:color w:val="auto"/>
                <w:szCs w:val="21"/>
              </w:rPr>
            </w:pPr>
            <w:r>
              <w:rPr>
                <w:rFonts w:ascii="Times New Roman"/>
                <w:color w:val="auto"/>
                <w:szCs w:val="21"/>
              </w:rPr>
              <w:t>分界流量</w:t>
            </w:r>
            <w:r>
              <w:rPr>
                <w:rFonts w:ascii="Times New Roman"/>
                <w:i/>
                <w:color w:val="auto"/>
                <w:szCs w:val="21"/>
              </w:rPr>
              <w:t>q</w:t>
            </w:r>
            <w:r>
              <w:rPr>
                <w:rFonts w:ascii="Times New Roman"/>
                <w:color w:val="auto"/>
                <w:szCs w:val="21"/>
                <w:vertAlign w:val="subscript"/>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rFonts w:ascii="Times New Roman"/>
                <w:color w:val="auto"/>
                <w:szCs w:val="21"/>
              </w:rPr>
            </w:pPr>
            <w:r>
              <w:rPr>
                <w:rFonts w:ascii="Times New Roman"/>
                <w:color w:val="auto"/>
                <w:szCs w:val="21"/>
              </w:rPr>
              <w:t>1</w:t>
            </w:r>
          </w:p>
        </w:tc>
        <w:tc>
          <w:tcPr>
            <w:tcW w:w="2143" w:type="dxa"/>
            <w:noWrap w:val="0"/>
            <w:vAlign w:val="center"/>
          </w:tcPr>
          <w:p>
            <w:pPr>
              <w:pStyle w:val="24"/>
              <w:ind w:firstLine="0" w:firstLineChars="0"/>
              <w:jc w:val="center"/>
              <w:rPr>
                <w:rFonts w:ascii="Times New Roman"/>
                <w:color w:val="auto"/>
                <w:szCs w:val="21"/>
              </w:rPr>
            </w:pPr>
            <w:r>
              <w:rPr>
                <w:rFonts w:ascii="Times New Roman"/>
                <w:color w:val="auto"/>
                <w:szCs w:val="21"/>
              </w:rPr>
              <w:t>2.5</w:t>
            </w:r>
          </w:p>
        </w:tc>
        <w:tc>
          <w:tcPr>
            <w:tcW w:w="2252" w:type="dxa"/>
            <w:noWrap w:val="0"/>
            <w:vAlign w:val="center"/>
          </w:tcPr>
          <w:p>
            <w:pPr>
              <w:pStyle w:val="24"/>
              <w:ind w:firstLine="0" w:firstLineChars="0"/>
              <w:jc w:val="center"/>
              <w:rPr>
                <w:rFonts w:ascii="Times New Roman"/>
                <w:color w:val="auto"/>
                <w:szCs w:val="21"/>
              </w:rPr>
            </w:pPr>
            <w:r>
              <w:rPr>
                <w:rFonts w:ascii="Times New Roman"/>
                <w:color w:val="auto"/>
                <w:szCs w:val="21"/>
              </w:rPr>
              <w:t>0.016</w:t>
            </w:r>
          </w:p>
        </w:tc>
        <w:tc>
          <w:tcPr>
            <w:tcW w:w="2268" w:type="dxa"/>
            <w:noWrap w:val="0"/>
            <w:vAlign w:val="center"/>
          </w:tcPr>
          <w:p>
            <w:pPr>
              <w:pStyle w:val="24"/>
              <w:ind w:firstLine="0" w:firstLineChars="0"/>
              <w:jc w:val="center"/>
              <w:rPr>
                <w:rFonts w:ascii="Times New Roman"/>
                <w:color w:val="auto"/>
                <w:szCs w:val="21"/>
              </w:rPr>
            </w:pPr>
            <w:r>
              <w:rPr>
                <w:rFonts w:ascii="Times New Roman"/>
                <w:color w:val="auto"/>
                <w:szCs w:val="21"/>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rFonts w:ascii="Times New Roman"/>
                <w:color w:val="auto"/>
                <w:szCs w:val="21"/>
              </w:rPr>
            </w:pPr>
            <w:r>
              <w:rPr>
                <w:rFonts w:ascii="Times New Roman"/>
                <w:color w:val="auto"/>
                <w:szCs w:val="21"/>
              </w:rPr>
              <w:t>2</w:t>
            </w:r>
          </w:p>
        </w:tc>
        <w:tc>
          <w:tcPr>
            <w:tcW w:w="2143" w:type="dxa"/>
            <w:noWrap w:val="0"/>
            <w:vAlign w:val="center"/>
          </w:tcPr>
          <w:p>
            <w:pPr>
              <w:pStyle w:val="24"/>
              <w:ind w:firstLine="0" w:firstLineChars="0"/>
              <w:jc w:val="center"/>
              <w:rPr>
                <w:rFonts w:ascii="Times New Roman"/>
                <w:color w:val="auto"/>
                <w:szCs w:val="21"/>
              </w:rPr>
            </w:pPr>
            <w:r>
              <w:rPr>
                <w:rFonts w:ascii="Times New Roman"/>
                <w:color w:val="auto"/>
                <w:szCs w:val="21"/>
              </w:rPr>
              <w:t>4</w:t>
            </w:r>
          </w:p>
        </w:tc>
        <w:tc>
          <w:tcPr>
            <w:tcW w:w="2252" w:type="dxa"/>
            <w:noWrap w:val="0"/>
            <w:vAlign w:val="center"/>
          </w:tcPr>
          <w:p>
            <w:pPr>
              <w:pStyle w:val="24"/>
              <w:ind w:hanging="1" w:firstLineChars="0"/>
              <w:jc w:val="center"/>
              <w:rPr>
                <w:rFonts w:ascii="Times New Roman"/>
                <w:color w:val="auto"/>
                <w:szCs w:val="21"/>
              </w:rPr>
            </w:pPr>
            <w:r>
              <w:rPr>
                <w:rFonts w:ascii="Times New Roman"/>
                <w:color w:val="auto"/>
                <w:szCs w:val="21"/>
              </w:rPr>
              <w:t>0.025</w:t>
            </w:r>
          </w:p>
        </w:tc>
        <w:tc>
          <w:tcPr>
            <w:tcW w:w="2268" w:type="dxa"/>
            <w:noWrap w:val="0"/>
            <w:vAlign w:val="center"/>
          </w:tcPr>
          <w:p>
            <w:pPr>
              <w:pStyle w:val="24"/>
              <w:ind w:leftChars="-4" w:hanging="8" w:hangingChars="4"/>
              <w:jc w:val="center"/>
              <w:rPr>
                <w:rFonts w:hint="eastAsia" w:ascii="Times New Roman"/>
                <w:color w:val="auto"/>
                <w:szCs w:val="21"/>
                <w:vertAlign w:val="superscript"/>
              </w:rPr>
            </w:pPr>
            <w:r>
              <w:rPr>
                <w:rFonts w:ascii="Times New Roman"/>
                <w:color w:val="auto"/>
                <w:szCs w:val="21"/>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rFonts w:ascii="Times New Roman"/>
                <w:color w:val="auto"/>
                <w:szCs w:val="21"/>
              </w:rPr>
            </w:pPr>
            <w:r>
              <w:rPr>
                <w:rFonts w:ascii="Times New Roman"/>
                <w:color w:val="auto"/>
                <w:szCs w:val="21"/>
              </w:rPr>
              <w:t>3</w:t>
            </w:r>
          </w:p>
        </w:tc>
        <w:tc>
          <w:tcPr>
            <w:tcW w:w="2143" w:type="dxa"/>
            <w:noWrap w:val="0"/>
            <w:vAlign w:val="center"/>
          </w:tcPr>
          <w:p>
            <w:pPr>
              <w:pStyle w:val="24"/>
              <w:ind w:firstLine="0" w:firstLineChars="0"/>
              <w:jc w:val="center"/>
              <w:rPr>
                <w:rFonts w:ascii="Times New Roman"/>
                <w:color w:val="auto"/>
                <w:szCs w:val="21"/>
              </w:rPr>
            </w:pPr>
            <w:r>
              <w:rPr>
                <w:rFonts w:ascii="Times New Roman"/>
                <w:color w:val="auto"/>
                <w:szCs w:val="21"/>
              </w:rPr>
              <w:t>6</w:t>
            </w:r>
          </w:p>
        </w:tc>
        <w:tc>
          <w:tcPr>
            <w:tcW w:w="2252" w:type="dxa"/>
            <w:noWrap w:val="0"/>
            <w:vAlign w:val="center"/>
          </w:tcPr>
          <w:p>
            <w:pPr>
              <w:pStyle w:val="24"/>
              <w:ind w:hanging="1" w:firstLineChars="0"/>
              <w:jc w:val="center"/>
              <w:rPr>
                <w:rFonts w:ascii="Times New Roman"/>
                <w:color w:val="auto"/>
                <w:szCs w:val="21"/>
              </w:rPr>
            </w:pPr>
            <w:r>
              <w:rPr>
                <w:rFonts w:ascii="Times New Roman"/>
                <w:color w:val="auto"/>
                <w:szCs w:val="21"/>
              </w:rPr>
              <w:t>0.04</w:t>
            </w:r>
          </w:p>
        </w:tc>
        <w:tc>
          <w:tcPr>
            <w:tcW w:w="2268" w:type="dxa"/>
            <w:noWrap w:val="0"/>
            <w:vAlign w:val="center"/>
          </w:tcPr>
          <w:p>
            <w:pPr>
              <w:pStyle w:val="24"/>
              <w:ind w:firstLine="0" w:firstLineChars="0"/>
              <w:jc w:val="center"/>
              <w:rPr>
                <w:rFonts w:ascii="Times New Roman"/>
                <w:color w:val="auto"/>
                <w:szCs w:val="21"/>
              </w:rPr>
            </w:pPr>
            <w:r>
              <w:rPr>
                <w:rFonts w:ascii="Times New Roman"/>
                <w:color w:val="auto"/>
                <w:szCs w:val="21"/>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jc w:val="center"/>
              <w:rPr>
                <w:color w:val="auto"/>
                <w:szCs w:val="21"/>
              </w:rPr>
            </w:pPr>
            <w:r>
              <w:rPr>
                <w:color w:val="auto"/>
                <w:szCs w:val="21"/>
              </w:rPr>
              <w:t>4</w:t>
            </w:r>
          </w:p>
        </w:tc>
        <w:tc>
          <w:tcPr>
            <w:tcW w:w="2143" w:type="dxa"/>
            <w:noWrap w:val="0"/>
            <w:vAlign w:val="center"/>
          </w:tcPr>
          <w:p>
            <w:pPr>
              <w:jc w:val="center"/>
              <w:rPr>
                <w:color w:val="auto"/>
                <w:szCs w:val="21"/>
              </w:rPr>
            </w:pPr>
            <w:r>
              <w:rPr>
                <w:color w:val="auto"/>
                <w:szCs w:val="21"/>
              </w:rPr>
              <w:t>10</w:t>
            </w:r>
          </w:p>
        </w:tc>
        <w:tc>
          <w:tcPr>
            <w:tcW w:w="2252" w:type="dxa"/>
            <w:noWrap w:val="0"/>
            <w:vAlign w:val="center"/>
          </w:tcPr>
          <w:p>
            <w:pPr>
              <w:jc w:val="center"/>
              <w:rPr>
                <w:color w:val="auto"/>
                <w:szCs w:val="21"/>
              </w:rPr>
            </w:pPr>
            <w:r>
              <w:rPr>
                <w:color w:val="auto"/>
                <w:szCs w:val="21"/>
              </w:rPr>
              <w:t>0.06</w:t>
            </w:r>
          </w:p>
        </w:tc>
        <w:tc>
          <w:tcPr>
            <w:tcW w:w="2268" w:type="dxa"/>
            <w:noWrap w:val="0"/>
            <w:vAlign w:val="center"/>
          </w:tcPr>
          <w:p>
            <w:pPr>
              <w:jc w:val="center"/>
              <w:rPr>
                <w:color w:val="auto"/>
                <w:szCs w:val="21"/>
              </w:rPr>
            </w:pPr>
            <w:r>
              <w:rPr>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color w:val="auto"/>
                <w:szCs w:val="21"/>
              </w:rPr>
            </w:pPr>
            <w:r>
              <w:rPr>
                <w:rFonts w:ascii="Times New Roman"/>
                <w:color w:val="auto"/>
                <w:szCs w:val="21"/>
              </w:rPr>
              <w:t>5</w:t>
            </w:r>
          </w:p>
        </w:tc>
        <w:tc>
          <w:tcPr>
            <w:tcW w:w="2143" w:type="dxa"/>
            <w:noWrap w:val="0"/>
            <w:vAlign w:val="center"/>
          </w:tcPr>
          <w:p>
            <w:pPr>
              <w:pStyle w:val="24"/>
              <w:ind w:firstLine="0" w:firstLineChars="0"/>
              <w:jc w:val="center"/>
              <w:rPr>
                <w:color w:val="auto"/>
                <w:szCs w:val="21"/>
              </w:rPr>
            </w:pPr>
            <w:r>
              <w:rPr>
                <w:rFonts w:ascii="Times New Roman"/>
                <w:color w:val="auto"/>
                <w:szCs w:val="21"/>
              </w:rPr>
              <w:t>16</w:t>
            </w:r>
          </w:p>
        </w:tc>
        <w:tc>
          <w:tcPr>
            <w:tcW w:w="2252" w:type="dxa"/>
            <w:noWrap w:val="0"/>
            <w:vAlign w:val="center"/>
          </w:tcPr>
          <w:p>
            <w:pPr>
              <w:pStyle w:val="24"/>
              <w:ind w:firstLine="0" w:firstLineChars="0"/>
              <w:jc w:val="center"/>
              <w:rPr>
                <w:color w:val="auto"/>
                <w:szCs w:val="21"/>
              </w:rPr>
            </w:pPr>
            <w:r>
              <w:rPr>
                <w:rFonts w:ascii="Times New Roman"/>
                <w:color w:val="auto"/>
                <w:szCs w:val="21"/>
              </w:rPr>
              <w:t>0.10</w:t>
            </w:r>
          </w:p>
        </w:tc>
        <w:tc>
          <w:tcPr>
            <w:tcW w:w="2268" w:type="dxa"/>
            <w:noWrap w:val="0"/>
            <w:vAlign w:val="top"/>
          </w:tcPr>
          <w:p>
            <w:pPr>
              <w:jc w:val="center"/>
              <w:rPr>
                <w:color w:val="auto"/>
                <w:szCs w:val="21"/>
              </w:rPr>
            </w:pPr>
            <w:r>
              <w:rPr>
                <w:rFonts w:hint="eastAsia" w:eastAsia="Times New Roman"/>
                <w:color w:val="auto"/>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color w:val="auto"/>
                <w:szCs w:val="21"/>
              </w:rPr>
            </w:pPr>
            <w:r>
              <w:rPr>
                <w:rFonts w:ascii="Times New Roman"/>
                <w:color w:val="auto"/>
                <w:szCs w:val="21"/>
              </w:rPr>
              <w:t>6</w:t>
            </w:r>
          </w:p>
        </w:tc>
        <w:tc>
          <w:tcPr>
            <w:tcW w:w="2143" w:type="dxa"/>
            <w:noWrap w:val="0"/>
            <w:vAlign w:val="center"/>
          </w:tcPr>
          <w:p>
            <w:pPr>
              <w:pStyle w:val="24"/>
              <w:ind w:firstLine="0" w:firstLineChars="0"/>
              <w:jc w:val="center"/>
              <w:rPr>
                <w:color w:val="auto"/>
                <w:szCs w:val="21"/>
              </w:rPr>
            </w:pPr>
            <w:r>
              <w:rPr>
                <w:rFonts w:ascii="Times New Roman"/>
                <w:color w:val="auto"/>
                <w:szCs w:val="21"/>
              </w:rPr>
              <w:t>25</w:t>
            </w:r>
          </w:p>
        </w:tc>
        <w:tc>
          <w:tcPr>
            <w:tcW w:w="2252" w:type="dxa"/>
            <w:noWrap w:val="0"/>
            <w:vAlign w:val="center"/>
          </w:tcPr>
          <w:p>
            <w:pPr>
              <w:pStyle w:val="24"/>
              <w:ind w:firstLine="0" w:firstLineChars="0"/>
              <w:jc w:val="center"/>
              <w:rPr>
                <w:color w:val="auto"/>
                <w:szCs w:val="21"/>
              </w:rPr>
            </w:pPr>
            <w:r>
              <w:rPr>
                <w:rFonts w:ascii="Times New Roman"/>
                <w:color w:val="auto"/>
                <w:szCs w:val="21"/>
              </w:rPr>
              <w:t>0.16</w:t>
            </w:r>
          </w:p>
        </w:tc>
        <w:tc>
          <w:tcPr>
            <w:tcW w:w="2268" w:type="dxa"/>
            <w:noWrap w:val="0"/>
            <w:vAlign w:val="top"/>
          </w:tcPr>
          <w:p>
            <w:pPr>
              <w:jc w:val="center"/>
              <w:rPr>
                <w:color w:val="auto"/>
                <w:szCs w:val="21"/>
              </w:rPr>
            </w:pPr>
            <w:r>
              <w:rPr>
                <w:rFonts w:hint="eastAsia" w:eastAsia="Times New Roman"/>
                <w:color w:val="auto"/>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color w:val="auto"/>
                <w:szCs w:val="21"/>
              </w:rPr>
            </w:pPr>
            <w:r>
              <w:rPr>
                <w:rFonts w:ascii="Times New Roman"/>
                <w:color w:val="auto"/>
                <w:szCs w:val="21"/>
              </w:rPr>
              <w:t>7</w:t>
            </w:r>
          </w:p>
        </w:tc>
        <w:tc>
          <w:tcPr>
            <w:tcW w:w="2143" w:type="dxa"/>
            <w:noWrap w:val="0"/>
            <w:vAlign w:val="center"/>
          </w:tcPr>
          <w:p>
            <w:pPr>
              <w:pStyle w:val="24"/>
              <w:ind w:firstLine="0" w:firstLineChars="0"/>
              <w:jc w:val="center"/>
              <w:rPr>
                <w:color w:val="auto"/>
                <w:szCs w:val="21"/>
              </w:rPr>
            </w:pPr>
            <w:r>
              <w:rPr>
                <w:rFonts w:ascii="Times New Roman"/>
                <w:color w:val="auto"/>
                <w:szCs w:val="21"/>
              </w:rPr>
              <w:t>40</w:t>
            </w:r>
          </w:p>
        </w:tc>
        <w:tc>
          <w:tcPr>
            <w:tcW w:w="2252" w:type="dxa"/>
            <w:noWrap w:val="0"/>
            <w:vAlign w:val="center"/>
          </w:tcPr>
          <w:p>
            <w:pPr>
              <w:pStyle w:val="24"/>
              <w:ind w:firstLine="0" w:firstLineChars="0"/>
              <w:jc w:val="center"/>
              <w:rPr>
                <w:color w:val="auto"/>
                <w:szCs w:val="21"/>
              </w:rPr>
            </w:pPr>
            <w:r>
              <w:rPr>
                <w:rFonts w:ascii="Times New Roman"/>
                <w:color w:val="auto"/>
                <w:szCs w:val="21"/>
              </w:rPr>
              <w:t>0.25</w:t>
            </w:r>
          </w:p>
        </w:tc>
        <w:tc>
          <w:tcPr>
            <w:tcW w:w="2268" w:type="dxa"/>
            <w:noWrap w:val="0"/>
            <w:vAlign w:val="top"/>
          </w:tcPr>
          <w:p>
            <w:pPr>
              <w:jc w:val="center"/>
              <w:rPr>
                <w:color w:val="auto"/>
                <w:szCs w:val="21"/>
              </w:rPr>
            </w:pPr>
            <w:r>
              <w:rPr>
                <w:rFonts w:hint="eastAsia" w:eastAsia="Times New Roman"/>
                <w:color w:val="auto"/>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color w:val="auto"/>
                <w:szCs w:val="21"/>
              </w:rPr>
            </w:pPr>
            <w:r>
              <w:rPr>
                <w:rFonts w:ascii="Times New Roman"/>
                <w:color w:val="auto"/>
                <w:szCs w:val="21"/>
              </w:rPr>
              <w:t>8</w:t>
            </w:r>
          </w:p>
        </w:tc>
        <w:tc>
          <w:tcPr>
            <w:tcW w:w="2143" w:type="dxa"/>
            <w:noWrap w:val="0"/>
            <w:vAlign w:val="center"/>
          </w:tcPr>
          <w:p>
            <w:pPr>
              <w:pStyle w:val="24"/>
              <w:ind w:firstLine="0" w:firstLineChars="0"/>
              <w:jc w:val="center"/>
              <w:rPr>
                <w:color w:val="auto"/>
                <w:szCs w:val="21"/>
              </w:rPr>
            </w:pPr>
            <w:r>
              <w:rPr>
                <w:rFonts w:ascii="Times New Roman"/>
                <w:color w:val="auto"/>
                <w:szCs w:val="21"/>
              </w:rPr>
              <w:t>65</w:t>
            </w:r>
          </w:p>
        </w:tc>
        <w:tc>
          <w:tcPr>
            <w:tcW w:w="2252" w:type="dxa"/>
            <w:noWrap w:val="0"/>
            <w:vAlign w:val="center"/>
          </w:tcPr>
          <w:p>
            <w:pPr>
              <w:pStyle w:val="24"/>
              <w:ind w:firstLine="0" w:firstLineChars="0"/>
              <w:jc w:val="center"/>
              <w:rPr>
                <w:color w:val="auto"/>
                <w:szCs w:val="21"/>
              </w:rPr>
            </w:pPr>
            <w:r>
              <w:rPr>
                <w:rFonts w:ascii="Times New Roman"/>
                <w:color w:val="auto"/>
                <w:szCs w:val="21"/>
              </w:rPr>
              <w:t>0.40</w:t>
            </w:r>
          </w:p>
        </w:tc>
        <w:tc>
          <w:tcPr>
            <w:tcW w:w="2268" w:type="dxa"/>
            <w:noWrap w:val="0"/>
            <w:vAlign w:val="top"/>
          </w:tcPr>
          <w:p>
            <w:pPr>
              <w:jc w:val="center"/>
              <w:rPr>
                <w:color w:val="auto"/>
                <w:szCs w:val="21"/>
              </w:rPr>
            </w:pPr>
            <w:r>
              <w:rPr>
                <w:rFonts w:hint="eastAsia" w:eastAsia="Times New Roman"/>
                <w:color w:val="auto"/>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848" w:type="dxa"/>
            <w:noWrap w:val="0"/>
            <w:vAlign w:val="center"/>
          </w:tcPr>
          <w:p>
            <w:pPr>
              <w:pStyle w:val="24"/>
              <w:ind w:firstLine="0" w:firstLineChars="0"/>
              <w:jc w:val="center"/>
              <w:rPr>
                <w:color w:val="auto"/>
                <w:szCs w:val="21"/>
              </w:rPr>
            </w:pPr>
            <w:r>
              <w:rPr>
                <w:rFonts w:ascii="Times New Roman"/>
                <w:color w:val="auto"/>
                <w:szCs w:val="21"/>
              </w:rPr>
              <w:t>9</w:t>
            </w:r>
          </w:p>
        </w:tc>
        <w:tc>
          <w:tcPr>
            <w:tcW w:w="2143" w:type="dxa"/>
            <w:noWrap w:val="0"/>
            <w:vAlign w:val="center"/>
          </w:tcPr>
          <w:p>
            <w:pPr>
              <w:pStyle w:val="24"/>
              <w:ind w:firstLine="0" w:firstLineChars="0"/>
              <w:jc w:val="center"/>
              <w:rPr>
                <w:color w:val="auto"/>
                <w:szCs w:val="21"/>
              </w:rPr>
            </w:pPr>
            <w:r>
              <w:rPr>
                <w:rFonts w:ascii="Times New Roman"/>
                <w:color w:val="auto"/>
                <w:szCs w:val="21"/>
              </w:rPr>
              <w:t>100</w:t>
            </w:r>
          </w:p>
        </w:tc>
        <w:tc>
          <w:tcPr>
            <w:tcW w:w="2252" w:type="dxa"/>
            <w:noWrap w:val="0"/>
            <w:vAlign w:val="center"/>
          </w:tcPr>
          <w:p>
            <w:pPr>
              <w:pStyle w:val="24"/>
              <w:ind w:firstLine="0" w:firstLineChars="0"/>
              <w:jc w:val="center"/>
              <w:rPr>
                <w:color w:val="auto"/>
                <w:szCs w:val="21"/>
              </w:rPr>
            </w:pPr>
            <w:r>
              <w:rPr>
                <w:rFonts w:ascii="Times New Roman"/>
                <w:color w:val="auto"/>
                <w:szCs w:val="21"/>
              </w:rPr>
              <w:t>0.65</w:t>
            </w:r>
          </w:p>
        </w:tc>
        <w:tc>
          <w:tcPr>
            <w:tcW w:w="2268" w:type="dxa"/>
            <w:noWrap w:val="0"/>
            <w:vAlign w:val="top"/>
          </w:tcPr>
          <w:p>
            <w:pPr>
              <w:jc w:val="center"/>
              <w:rPr>
                <w:color w:val="auto"/>
                <w:szCs w:val="21"/>
              </w:rPr>
            </w:pPr>
            <w:r>
              <w:rPr>
                <w:rFonts w:hint="eastAsia" w:eastAsia="Times New Roman"/>
                <w:color w:val="auto"/>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atLeast"/>
          <w:jc w:val="center"/>
        </w:trPr>
        <w:tc>
          <w:tcPr>
            <w:tcW w:w="8511" w:type="dxa"/>
            <w:gridSpan w:val="4"/>
            <w:noWrap w:val="0"/>
            <w:vAlign w:val="top"/>
          </w:tcPr>
          <w:p>
            <w:pPr>
              <w:rPr>
                <w:color w:val="auto"/>
                <w:szCs w:val="21"/>
              </w:rPr>
            </w:pPr>
            <w:r>
              <w:rPr>
                <w:rFonts w:hint="eastAsia" w:ascii="仿宋" w:hAnsi="仿宋" w:eastAsia="仿宋"/>
                <w:color w:val="auto"/>
                <w:szCs w:val="21"/>
              </w:rPr>
              <w:t>注：最小流量值可以比表中所列的最小流量上限值小，但是该值应是表中的某个值，或者是某个值的十进位约数值。</w:t>
            </w:r>
          </w:p>
        </w:tc>
      </w:tr>
    </w:tbl>
    <w:p>
      <w:pPr>
        <w:tabs>
          <w:tab w:val="left" w:pos="426"/>
        </w:tabs>
        <w:rPr>
          <w:rFonts w:hint="eastAsia" w:hAnsi="宋体"/>
          <w:color w:val="auto"/>
          <w:szCs w:val="21"/>
        </w:rPr>
      </w:pPr>
    </w:p>
    <w:p>
      <w:pPr>
        <w:tabs>
          <w:tab w:val="left" w:pos="426"/>
        </w:tabs>
        <w:spacing w:line="312" w:lineRule="auto"/>
        <w:rPr>
          <w:rFonts w:hint="eastAsia" w:hAnsi="宋体"/>
          <w:color w:val="auto"/>
          <w:sz w:val="24"/>
        </w:rPr>
      </w:pPr>
      <w:r>
        <w:rPr>
          <w:rFonts w:hint="eastAsia" w:hAnsi="宋体"/>
          <w:color w:val="auto"/>
          <w:sz w:val="24"/>
        </w:rPr>
        <w:t>5.2 准确度等级和最大允许误差</w:t>
      </w:r>
    </w:p>
    <w:p>
      <w:pPr>
        <w:tabs>
          <w:tab w:val="left" w:pos="426"/>
        </w:tabs>
        <w:spacing w:line="312" w:lineRule="auto"/>
        <w:ind w:firstLine="480" w:firstLineChars="200"/>
        <w:rPr>
          <w:color w:val="auto"/>
          <w:sz w:val="24"/>
        </w:rPr>
      </w:pPr>
      <w:r>
        <w:rPr>
          <w:rFonts w:hint="eastAsia"/>
          <w:color w:val="auto"/>
          <w:sz w:val="24"/>
        </w:rPr>
        <w:t>燃气表的准确度等级和最大允许误差应符合表2的规定。</w:t>
      </w:r>
    </w:p>
    <w:p>
      <w:pPr>
        <w:spacing w:line="312" w:lineRule="auto"/>
        <w:jc w:val="center"/>
        <w:rPr>
          <w:rFonts w:hAnsi="宋体"/>
          <w:color w:val="auto"/>
          <w:sz w:val="24"/>
        </w:rPr>
      </w:pPr>
    </w:p>
    <w:p>
      <w:pPr>
        <w:spacing w:line="312" w:lineRule="auto"/>
        <w:jc w:val="center"/>
        <w:rPr>
          <w:rFonts w:hAnsi="宋体"/>
          <w:color w:val="auto"/>
          <w:sz w:val="24"/>
        </w:rPr>
      </w:pPr>
    </w:p>
    <w:p>
      <w:pPr>
        <w:spacing w:line="312" w:lineRule="auto"/>
        <w:jc w:val="center"/>
        <w:rPr>
          <w:b/>
          <w:color w:val="auto"/>
          <w:sz w:val="24"/>
        </w:rPr>
      </w:pPr>
      <w:r>
        <w:rPr>
          <w:rFonts w:hAnsi="宋体"/>
          <w:color w:val="auto"/>
          <w:sz w:val="24"/>
        </w:rPr>
        <w:t>表</w:t>
      </w:r>
      <w:r>
        <w:rPr>
          <w:color w:val="auto"/>
          <w:sz w:val="24"/>
        </w:rPr>
        <w:t>2</w:t>
      </w:r>
      <w:r>
        <w:rPr>
          <w:rFonts w:hAnsi="宋体"/>
          <w:color w:val="auto"/>
          <w:sz w:val="24"/>
        </w:rPr>
        <w:t>准确度等级和最大允许误差</w:t>
      </w:r>
    </w:p>
    <w:tbl>
      <w:tblPr>
        <w:tblStyle w:val="18"/>
        <w:tblW w:w="8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3"/>
        <w:gridCol w:w="1445"/>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658" w:type="dxa"/>
            <w:gridSpan w:val="2"/>
            <w:vMerge w:val="restart"/>
            <w:noWrap w:val="0"/>
            <w:vAlign w:val="center"/>
          </w:tcPr>
          <w:p>
            <w:pPr>
              <w:jc w:val="center"/>
              <w:rPr>
                <w:color w:val="auto"/>
                <w:szCs w:val="21"/>
              </w:rPr>
            </w:pPr>
            <w:r>
              <w:rPr>
                <w:color w:val="auto"/>
                <w:szCs w:val="21"/>
              </w:rPr>
              <w:t>准确度等级</w:t>
            </w:r>
          </w:p>
        </w:tc>
        <w:tc>
          <w:tcPr>
            <w:tcW w:w="2834" w:type="dxa"/>
            <w:gridSpan w:val="2"/>
            <w:noWrap w:val="0"/>
            <w:vAlign w:val="center"/>
          </w:tcPr>
          <w:p>
            <w:pPr>
              <w:jc w:val="center"/>
              <w:rPr>
                <w:color w:val="auto"/>
                <w:szCs w:val="21"/>
              </w:rPr>
            </w:pPr>
            <w:r>
              <w:rPr>
                <w:color w:val="auto"/>
                <w:szCs w:val="21"/>
              </w:rPr>
              <w:t>1</w:t>
            </w:r>
            <w:r>
              <w:rPr>
                <w:rFonts w:hint="eastAsia"/>
                <w:color w:val="auto"/>
                <w:szCs w:val="21"/>
              </w:rPr>
              <w:t>.</w:t>
            </w:r>
            <w:r>
              <w:rPr>
                <w:color w:val="auto"/>
                <w:szCs w:val="21"/>
              </w:rPr>
              <w:t>0级</w:t>
            </w:r>
          </w:p>
        </w:tc>
        <w:tc>
          <w:tcPr>
            <w:tcW w:w="2834" w:type="dxa"/>
            <w:gridSpan w:val="2"/>
            <w:noWrap w:val="0"/>
            <w:vAlign w:val="center"/>
          </w:tcPr>
          <w:p>
            <w:pPr>
              <w:jc w:val="center"/>
              <w:rPr>
                <w:color w:val="auto"/>
                <w:szCs w:val="21"/>
              </w:rPr>
            </w:pPr>
            <w:r>
              <w:rPr>
                <w:color w:val="auto"/>
                <w:szCs w:val="21"/>
              </w:rPr>
              <w:t>1.5级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658" w:type="dxa"/>
            <w:gridSpan w:val="2"/>
            <w:vMerge w:val="continue"/>
            <w:noWrap w:val="0"/>
            <w:vAlign w:val="center"/>
          </w:tcPr>
          <w:p>
            <w:pPr>
              <w:jc w:val="center"/>
              <w:rPr>
                <w:color w:val="auto"/>
                <w:szCs w:val="21"/>
              </w:rPr>
            </w:pPr>
          </w:p>
        </w:tc>
        <w:tc>
          <w:tcPr>
            <w:tcW w:w="1417" w:type="dxa"/>
            <w:noWrap w:val="0"/>
            <w:vAlign w:val="center"/>
          </w:tcPr>
          <w:p>
            <w:pPr>
              <w:jc w:val="center"/>
              <w:rPr>
                <w:rFonts w:hint="eastAsia"/>
                <w:color w:val="auto"/>
                <w:szCs w:val="21"/>
              </w:rPr>
            </w:pPr>
            <w:r>
              <w:rPr>
                <w:color w:val="auto"/>
                <w:szCs w:val="21"/>
              </w:rPr>
              <w:t>首次检定</w:t>
            </w:r>
            <w:r>
              <w:rPr>
                <w:rFonts w:hint="eastAsia"/>
                <w:color w:val="auto"/>
                <w:szCs w:val="21"/>
              </w:rPr>
              <w:t>/</w:t>
            </w:r>
          </w:p>
          <w:p>
            <w:pPr>
              <w:jc w:val="center"/>
              <w:rPr>
                <w:rFonts w:hint="eastAsia" w:eastAsia="Calibri"/>
                <w:color w:val="auto"/>
                <w:szCs w:val="21"/>
              </w:rPr>
            </w:pPr>
            <w:r>
              <w:rPr>
                <w:rFonts w:hint="eastAsia"/>
                <w:color w:val="auto"/>
                <w:szCs w:val="21"/>
              </w:rPr>
              <w:t>后续检定</w:t>
            </w:r>
          </w:p>
        </w:tc>
        <w:tc>
          <w:tcPr>
            <w:tcW w:w="1417" w:type="dxa"/>
            <w:noWrap w:val="0"/>
            <w:vAlign w:val="center"/>
          </w:tcPr>
          <w:p>
            <w:pPr>
              <w:jc w:val="center"/>
              <w:rPr>
                <w:color w:val="auto"/>
                <w:szCs w:val="21"/>
              </w:rPr>
            </w:pPr>
            <w:r>
              <w:rPr>
                <w:color w:val="auto"/>
                <w:szCs w:val="21"/>
              </w:rPr>
              <w:t>使用中检查</w:t>
            </w:r>
          </w:p>
        </w:tc>
        <w:tc>
          <w:tcPr>
            <w:tcW w:w="1417" w:type="dxa"/>
            <w:noWrap w:val="0"/>
            <w:vAlign w:val="center"/>
          </w:tcPr>
          <w:p>
            <w:pPr>
              <w:jc w:val="center"/>
              <w:rPr>
                <w:rFonts w:hint="eastAsia"/>
                <w:color w:val="auto"/>
                <w:szCs w:val="21"/>
              </w:rPr>
            </w:pPr>
            <w:r>
              <w:rPr>
                <w:color w:val="auto"/>
                <w:szCs w:val="21"/>
              </w:rPr>
              <w:t>首次检定</w:t>
            </w:r>
            <w:r>
              <w:rPr>
                <w:rFonts w:hint="eastAsia"/>
                <w:color w:val="auto"/>
                <w:szCs w:val="21"/>
              </w:rPr>
              <w:t>/</w:t>
            </w:r>
          </w:p>
          <w:p>
            <w:pPr>
              <w:jc w:val="center"/>
              <w:rPr>
                <w:rFonts w:hint="eastAsia"/>
                <w:color w:val="auto"/>
                <w:szCs w:val="21"/>
              </w:rPr>
            </w:pPr>
            <w:r>
              <w:rPr>
                <w:rFonts w:hint="eastAsia"/>
                <w:color w:val="auto"/>
                <w:szCs w:val="21"/>
              </w:rPr>
              <w:t>后续检定</w:t>
            </w:r>
          </w:p>
        </w:tc>
        <w:tc>
          <w:tcPr>
            <w:tcW w:w="1417" w:type="dxa"/>
            <w:noWrap w:val="0"/>
            <w:vAlign w:val="center"/>
          </w:tcPr>
          <w:p>
            <w:pPr>
              <w:jc w:val="center"/>
              <w:rPr>
                <w:color w:val="auto"/>
                <w:szCs w:val="21"/>
              </w:rPr>
            </w:pPr>
            <w:r>
              <w:rPr>
                <w:color w:val="auto"/>
                <w:szCs w:val="21"/>
              </w:rPr>
              <w:t>使用中检查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13" w:type="dxa"/>
            <w:vMerge w:val="restart"/>
            <w:noWrap w:val="0"/>
            <w:vAlign w:val="center"/>
          </w:tcPr>
          <w:p>
            <w:pPr>
              <w:jc w:val="center"/>
              <w:rPr>
                <w:color w:val="auto"/>
                <w:szCs w:val="21"/>
              </w:rPr>
            </w:pPr>
            <w:r>
              <w:rPr>
                <w:color w:val="auto"/>
                <w:szCs w:val="21"/>
              </w:rPr>
              <w:t>最大允许</w:t>
            </w:r>
          </w:p>
          <w:p>
            <w:pPr>
              <w:jc w:val="center"/>
              <w:rPr>
                <w:color w:val="auto"/>
                <w:szCs w:val="21"/>
              </w:rPr>
            </w:pPr>
            <w:r>
              <w:rPr>
                <w:color w:val="auto"/>
                <w:szCs w:val="21"/>
              </w:rPr>
              <w:t>误差</w:t>
            </w:r>
          </w:p>
        </w:tc>
        <w:tc>
          <w:tcPr>
            <w:tcW w:w="1445" w:type="dxa"/>
            <w:noWrap w:val="0"/>
            <w:vAlign w:val="center"/>
          </w:tcPr>
          <w:p>
            <w:pPr>
              <w:jc w:val="center"/>
              <w:rPr>
                <w:color w:val="auto"/>
                <w:szCs w:val="21"/>
              </w:rPr>
            </w:pPr>
            <w:r>
              <w:rPr>
                <w:i/>
                <w:color w:val="auto"/>
                <w:szCs w:val="21"/>
              </w:rPr>
              <w:t>q</w:t>
            </w:r>
            <w:r>
              <w:rPr>
                <w:color w:val="auto"/>
                <w:szCs w:val="21"/>
                <w:vertAlign w:val="subscript"/>
              </w:rPr>
              <w:t>min</w:t>
            </w:r>
            <w:r>
              <w:rPr>
                <w:rFonts w:ascii="宋体" w:hAnsi="宋体"/>
                <w:color w:val="auto"/>
                <w:szCs w:val="21"/>
              </w:rPr>
              <w:t>≤</w:t>
            </w:r>
            <w:r>
              <w:rPr>
                <w:i/>
                <w:color w:val="auto"/>
                <w:szCs w:val="21"/>
              </w:rPr>
              <w:t>q</w:t>
            </w:r>
            <w:r>
              <w:rPr>
                <w:color w:val="auto"/>
                <w:szCs w:val="21"/>
              </w:rPr>
              <w:t>＜</w:t>
            </w:r>
            <w:r>
              <w:rPr>
                <w:i/>
                <w:color w:val="auto"/>
                <w:szCs w:val="21"/>
              </w:rPr>
              <w:t>q</w:t>
            </w:r>
            <w:r>
              <w:rPr>
                <w:color w:val="auto"/>
                <w:szCs w:val="21"/>
                <w:vertAlign w:val="subscript"/>
              </w:rPr>
              <w:t>t</w:t>
            </w:r>
          </w:p>
        </w:tc>
        <w:tc>
          <w:tcPr>
            <w:tcW w:w="1417" w:type="dxa"/>
            <w:noWrap w:val="0"/>
            <w:vAlign w:val="center"/>
          </w:tcPr>
          <w:p>
            <w:pPr>
              <w:jc w:val="center"/>
              <w:rPr>
                <w:color w:val="auto"/>
                <w:szCs w:val="21"/>
              </w:rPr>
            </w:pPr>
            <w:r>
              <w:rPr>
                <w:color w:val="auto"/>
                <w:szCs w:val="21"/>
              </w:rPr>
              <w:t>±2.0%</w:t>
            </w:r>
          </w:p>
        </w:tc>
        <w:tc>
          <w:tcPr>
            <w:tcW w:w="1417" w:type="dxa"/>
            <w:noWrap w:val="0"/>
            <w:vAlign w:val="center"/>
          </w:tcPr>
          <w:p>
            <w:pPr>
              <w:jc w:val="center"/>
              <w:rPr>
                <w:color w:val="auto"/>
                <w:szCs w:val="21"/>
              </w:rPr>
            </w:pPr>
            <w:r>
              <w:rPr>
                <w:color w:val="auto"/>
                <w:szCs w:val="21"/>
              </w:rPr>
              <w:t>±4.0%</w:t>
            </w:r>
          </w:p>
        </w:tc>
        <w:tc>
          <w:tcPr>
            <w:tcW w:w="1417" w:type="dxa"/>
            <w:noWrap w:val="0"/>
            <w:vAlign w:val="center"/>
          </w:tcPr>
          <w:p>
            <w:pPr>
              <w:jc w:val="center"/>
              <w:rPr>
                <w:color w:val="auto"/>
                <w:szCs w:val="21"/>
              </w:rPr>
            </w:pPr>
            <w:r>
              <w:rPr>
                <w:color w:val="auto"/>
                <w:szCs w:val="21"/>
              </w:rPr>
              <w:t>±3.0%</w:t>
            </w:r>
          </w:p>
        </w:tc>
        <w:tc>
          <w:tcPr>
            <w:tcW w:w="1417" w:type="dxa"/>
            <w:noWrap w:val="0"/>
            <w:vAlign w:val="center"/>
          </w:tcPr>
          <w:p>
            <w:pPr>
              <w:jc w:val="center"/>
              <w:rPr>
                <w:color w:val="auto"/>
                <w:szCs w:val="21"/>
              </w:rPr>
            </w:pPr>
            <w:r>
              <w:rPr>
                <w:color w:val="auto"/>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13" w:type="dxa"/>
            <w:vMerge w:val="continue"/>
            <w:noWrap w:val="0"/>
            <w:vAlign w:val="center"/>
          </w:tcPr>
          <w:p>
            <w:pPr>
              <w:jc w:val="center"/>
              <w:rPr>
                <w:color w:val="auto"/>
                <w:szCs w:val="21"/>
              </w:rPr>
            </w:pPr>
          </w:p>
        </w:tc>
        <w:tc>
          <w:tcPr>
            <w:tcW w:w="1445" w:type="dxa"/>
            <w:noWrap w:val="0"/>
            <w:vAlign w:val="center"/>
          </w:tcPr>
          <w:p>
            <w:pPr>
              <w:jc w:val="center"/>
              <w:rPr>
                <w:color w:val="auto"/>
                <w:szCs w:val="21"/>
              </w:rPr>
            </w:pPr>
            <w:r>
              <w:rPr>
                <w:i/>
                <w:color w:val="auto"/>
                <w:szCs w:val="21"/>
              </w:rPr>
              <w:t>q</w:t>
            </w:r>
            <w:r>
              <w:rPr>
                <w:color w:val="auto"/>
                <w:szCs w:val="21"/>
                <w:vertAlign w:val="subscript"/>
              </w:rPr>
              <w:t>t</w:t>
            </w:r>
            <w:r>
              <w:rPr>
                <w:rFonts w:ascii="宋体" w:hAnsi="宋体"/>
                <w:color w:val="auto"/>
                <w:szCs w:val="21"/>
              </w:rPr>
              <w:t>≤</w:t>
            </w:r>
            <w:r>
              <w:rPr>
                <w:i/>
                <w:color w:val="auto"/>
                <w:szCs w:val="21"/>
              </w:rPr>
              <w:t>q</w:t>
            </w:r>
            <w:r>
              <w:rPr>
                <w:rFonts w:ascii="宋体" w:hAnsi="宋体"/>
                <w:color w:val="auto"/>
                <w:szCs w:val="21"/>
              </w:rPr>
              <w:t>≤</w:t>
            </w:r>
            <w:r>
              <w:rPr>
                <w:i/>
                <w:color w:val="auto"/>
                <w:szCs w:val="21"/>
              </w:rPr>
              <w:t>q</w:t>
            </w:r>
            <w:r>
              <w:rPr>
                <w:color w:val="auto"/>
                <w:szCs w:val="21"/>
                <w:vertAlign w:val="subscript"/>
              </w:rPr>
              <w:t>max</w:t>
            </w:r>
          </w:p>
        </w:tc>
        <w:tc>
          <w:tcPr>
            <w:tcW w:w="1417" w:type="dxa"/>
            <w:noWrap w:val="0"/>
            <w:vAlign w:val="center"/>
          </w:tcPr>
          <w:p>
            <w:pPr>
              <w:jc w:val="center"/>
              <w:rPr>
                <w:color w:val="auto"/>
                <w:szCs w:val="21"/>
              </w:rPr>
            </w:pPr>
            <w:r>
              <w:rPr>
                <w:color w:val="auto"/>
                <w:szCs w:val="21"/>
              </w:rPr>
              <w:t>±1.0%</w:t>
            </w:r>
          </w:p>
        </w:tc>
        <w:tc>
          <w:tcPr>
            <w:tcW w:w="1417" w:type="dxa"/>
            <w:noWrap w:val="0"/>
            <w:vAlign w:val="center"/>
          </w:tcPr>
          <w:p>
            <w:pPr>
              <w:jc w:val="center"/>
              <w:rPr>
                <w:color w:val="auto"/>
                <w:szCs w:val="21"/>
              </w:rPr>
            </w:pPr>
            <w:r>
              <w:rPr>
                <w:color w:val="auto"/>
                <w:szCs w:val="21"/>
              </w:rPr>
              <w:t>±2.0%</w:t>
            </w:r>
          </w:p>
        </w:tc>
        <w:tc>
          <w:tcPr>
            <w:tcW w:w="1417" w:type="dxa"/>
            <w:noWrap w:val="0"/>
            <w:vAlign w:val="center"/>
          </w:tcPr>
          <w:p>
            <w:pPr>
              <w:jc w:val="center"/>
              <w:rPr>
                <w:color w:val="auto"/>
                <w:szCs w:val="21"/>
              </w:rPr>
            </w:pPr>
            <w:r>
              <w:rPr>
                <w:color w:val="auto"/>
                <w:szCs w:val="21"/>
              </w:rPr>
              <w:t>±1.5%</w:t>
            </w:r>
          </w:p>
        </w:tc>
        <w:tc>
          <w:tcPr>
            <w:tcW w:w="1417" w:type="dxa"/>
            <w:noWrap w:val="0"/>
            <w:vAlign w:val="center"/>
          </w:tcPr>
          <w:p>
            <w:pPr>
              <w:jc w:val="center"/>
              <w:rPr>
                <w:color w:val="auto"/>
                <w:szCs w:val="21"/>
              </w:rPr>
            </w:pPr>
            <w:r>
              <w:rPr>
                <w:color w:val="auto"/>
                <w:szCs w:val="21"/>
              </w:rPr>
              <w:t>±3.0%</w:t>
            </w:r>
          </w:p>
        </w:tc>
      </w:tr>
    </w:tbl>
    <w:p>
      <w:pPr>
        <w:pStyle w:val="4"/>
        <w:spacing w:before="280" w:after="280" w:line="240" w:lineRule="auto"/>
        <w:rPr>
          <w:bCs w:val="0"/>
          <w:color w:val="auto"/>
          <w:sz w:val="24"/>
          <w:szCs w:val="24"/>
        </w:rPr>
      </w:pPr>
      <w:bookmarkStart w:id="144" w:name="_Toc468349708"/>
      <w:r>
        <w:rPr>
          <w:bCs w:val="0"/>
          <w:color w:val="auto"/>
          <w:sz w:val="24"/>
          <w:szCs w:val="24"/>
        </w:rPr>
        <w:t xml:space="preserve">6 </w:t>
      </w:r>
      <w:r>
        <w:rPr>
          <w:rFonts w:hAnsi="宋体"/>
          <w:bCs w:val="0"/>
          <w:color w:val="auto"/>
          <w:sz w:val="24"/>
          <w:szCs w:val="24"/>
        </w:rPr>
        <w:t>通用技术要求</w:t>
      </w:r>
      <w:bookmarkEnd w:id="144"/>
    </w:p>
    <w:p>
      <w:pPr>
        <w:pStyle w:val="4"/>
        <w:keepLines w:val="0"/>
        <w:widowControl/>
        <w:numPr>
          <w:ilvl w:val="0"/>
          <w:numId w:val="4"/>
        </w:numPr>
        <w:spacing w:before="0" w:after="0" w:line="312" w:lineRule="auto"/>
        <w:jc w:val="left"/>
        <w:rPr>
          <w:b w:val="0"/>
          <w:color w:val="auto"/>
          <w:sz w:val="24"/>
          <w:szCs w:val="24"/>
        </w:rPr>
      </w:pPr>
      <w:bookmarkStart w:id="145" w:name="_Toc295726478"/>
      <w:bookmarkStart w:id="146" w:name="_Toc301019276"/>
      <w:bookmarkStart w:id="147" w:name="_Toc301019314"/>
      <w:bookmarkStart w:id="148" w:name="_Toc301019382"/>
      <w:bookmarkStart w:id="149" w:name="_Toc327459470"/>
      <w:bookmarkStart w:id="150" w:name="_Toc468349709"/>
      <w:r>
        <w:rPr>
          <w:rFonts w:hAnsi="宋体"/>
          <w:b w:val="0"/>
          <w:color w:val="auto"/>
          <w:sz w:val="24"/>
          <w:szCs w:val="24"/>
        </w:rPr>
        <w:t>铭牌和标记</w:t>
      </w:r>
      <w:bookmarkEnd w:id="145"/>
      <w:bookmarkEnd w:id="146"/>
      <w:bookmarkEnd w:id="147"/>
      <w:bookmarkEnd w:id="148"/>
      <w:bookmarkEnd w:id="149"/>
      <w:bookmarkEnd w:id="150"/>
    </w:p>
    <w:p>
      <w:pPr>
        <w:tabs>
          <w:tab w:val="left" w:pos="567"/>
        </w:tabs>
        <w:spacing w:line="324" w:lineRule="auto"/>
        <w:ind w:firstLine="424" w:firstLineChars="177"/>
        <w:rPr>
          <w:color w:val="auto"/>
          <w:sz w:val="24"/>
        </w:rPr>
      </w:pPr>
      <w:r>
        <w:rPr>
          <w:rFonts w:hAnsi="宋体"/>
          <w:color w:val="auto"/>
          <w:sz w:val="24"/>
        </w:rPr>
        <w:t>燃气表铭牌或表体应清晰、永久性</w:t>
      </w:r>
      <w:r>
        <w:rPr>
          <w:rFonts w:hint="eastAsia" w:hAnsi="宋体"/>
          <w:color w:val="auto"/>
          <w:sz w:val="24"/>
        </w:rPr>
        <w:t>地</w:t>
      </w:r>
      <w:r>
        <w:rPr>
          <w:rFonts w:hAnsi="宋体"/>
          <w:color w:val="auto"/>
          <w:sz w:val="24"/>
        </w:rPr>
        <w:t>标明</w:t>
      </w:r>
      <w:r>
        <w:rPr>
          <w:rFonts w:hint="eastAsia" w:hAnsi="宋体"/>
          <w:color w:val="auto"/>
          <w:sz w:val="24"/>
        </w:rPr>
        <w:t>但不限于以下内容</w:t>
      </w:r>
      <w:r>
        <w:rPr>
          <w:rFonts w:hAnsi="宋体"/>
          <w:color w:val="auto"/>
          <w:sz w:val="24"/>
        </w:rPr>
        <w:t>：</w:t>
      </w:r>
    </w:p>
    <w:p>
      <w:pPr>
        <w:numPr>
          <w:ilvl w:val="1"/>
          <w:numId w:val="5"/>
        </w:numPr>
        <w:spacing w:line="324" w:lineRule="auto"/>
        <w:rPr>
          <w:color w:val="auto"/>
          <w:sz w:val="24"/>
        </w:rPr>
      </w:pPr>
      <w:r>
        <w:rPr>
          <w:rFonts w:hAnsi="宋体"/>
          <w:color w:val="auto"/>
          <w:sz w:val="24"/>
        </w:rPr>
        <w:t>制造商名称</w:t>
      </w:r>
      <w:r>
        <w:rPr>
          <w:rFonts w:hint="eastAsia" w:hAnsi="宋体"/>
          <w:color w:val="auto"/>
          <w:sz w:val="24"/>
        </w:rPr>
        <w:t>或注册</w:t>
      </w:r>
      <w:r>
        <w:rPr>
          <w:rFonts w:hAnsi="宋体"/>
          <w:color w:val="auto"/>
          <w:sz w:val="24"/>
        </w:rPr>
        <w:t>商标；</w:t>
      </w:r>
    </w:p>
    <w:p>
      <w:pPr>
        <w:numPr>
          <w:ilvl w:val="1"/>
          <w:numId w:val="5"/>
        </w:numPr>
        <w:spacing w:line="324" w:lineRule="auto"/>
        <w:rPr>
          <w:color w:val="auto"/>
          <w:sz w:val="24"/>
        </w:rPr>
      </w:pPr>
      <w:r>
        <w:rPr>
          <w:rFonts w:hAnsi="宋体"/>
          <w:color w:val="auto"/>
          <w:sz w:val="24"/>
        </w:rPr>
        <w:t>产品名称；</w:t>
      </w:r>
    </w:p>
    <w:p>
      <w:pPr>
        <w:numPr>
          <w:ilvl w:val="1"/>
          <w:numId w:val="5"/>
        </w:numPr>
        <w:spacing w:line="324" w:lineRule="auto"/>
        <w:rPr>
          <w:color w:val="auto"/>
          <w:sz w:val="24"/>
        </w:rPr>
      </w:pPr>
      <w:r>
        <w:rPr>
          <w:rFonts w:hAnsi="宋体"/>
          <w:color w:val="auto"/>
          <w:sz w:val="24"/>
        </w:rPr>
        <w:t>型号规格；</w:t>
      </w:r>
    </w:p>
    <w:p>
      <w:pPr>
        <w:numPr>
          <w:ilvl w:val="1"/>
          <w:numId w:val="5"/>
        </w:numPr>
        <w:spacing w:line="324" w:lineRule="auto"/>
        <w:rPr>
          <w:color w:val="auto"/>
          <w:sz w:val="24"/>
        </w:rPr>
      </w:pPr>
      <w:r>
        <w:rPr>
          <w:rFonts w:hAnsi="宋体"/>
          <w:color w:val="auto"/>
          <w:sz w:val="24"/>
        </w:rPr>
        <w:t>准确度等级；</w:t>
      </w:r>
    </w:p>
    <w:p>
      <w:pPr>
        <w:numPr>
          <w:ilvl w:val="1"/>
          <w:numId w:val="5"/>
        </w:numPr>
        <w:spacing w:line="324" w:lineRule="auto"/>
        <w:rPr>
          <w:color w:val="auto"/>
          <w:sz w:val="24"/>
        </w:rPr>
      </w:pPr>
      <w:r>
        <w:rPr>
          <w:rFonts w:hAnsi="宋体"/>
          <w:color w:val="auto"/>
          <w:sz w:val="24"/>
        </w:rPr>
        <w:t>出厂编号；</w:t>
      </w:r>
    </w:p>
    <w:p>
      <w:pPr>
        <w:numPr>
          <w:ilvl w:val="1"/>
          <w:numId w:val="5"/>
        </w:numPr>
        <w:spacing w:line="324" w:lineRule="auto"/>
        <w:rPr>
          <w:color w:val="auto"/>
          <w:sz w:val="24"/>
        </w:rPr>
      </w:pPr>
      <w:r>
        <w:rPr>
          <w:rFonts w:hint="eastAsia" w:hAnsi="宋体"/>
          <w:color w:val="auto"/>
          <w:sz w:val="24"/>
        </w:rPr>
        <w:t>型式批准证书</w:t>
      </w:r>
      <w:r>
        <w:rPr>
          <w:rFonts w:hAnsi="宋体"/>
          <w:color w:val="auto"/>
          <w:sz w:val="24"/>
        </w:rPr>
        <w:t>编号；</w:t>
      </w:r>
    </w:p>
    <w:p>
      <w:pPr>
        <w:numPr>
          <w:ilvl w:val="1"/>
          <w:numId w:val="5"/>
        </w:numPr>
        <w:spacing w:line="324" w:lineRule="auto"/>
        <w:rPr>
          <w:color w:val="auto"/>
          <w:sz w:val="24"/>
        </w:rPr>
      </w:pPr>
      <w:r>
        <w:rPr>
          <w:rFonts w:hAnsi="宋体"/>
          <w:color w:val="auto"/>
          <w:sz w:val="24"/>
        </w:rPr>
        <w:t>流量范围；</w:t>
      </w:r>
    </w:p>
    <w:p>
      <w:pPr>
        <w:numPr>
          <w:ilvl w:val="1"/>
          <w:numId w:val="5"/>
        </w:numPr>
        <w:spacing w:line="324" w:lineRule="auto"/>
        <w:rPr>
          <w:color w:val="auto"/>
          <w:sz w:val="24"/>
        </w:rPr>
      </w:pPr>
      <w:r>
        <w:rPr>
          <w:rFonts w:hAnsi="宋体"/>
          <w:color w:val="auto"/>
          <w:sz w:val="24"/>
        </w:rPr>
        <w:t>最大工作压力；</w:t>
      </w:r>
    </w:p>
    <w:p>
      <w:pPr>
        <w:numPr>
          <w:ilvl w:val="1"/>
          <w:numId w:val="5"/>
        </w:numPr>
        <w:spacing w:line="324" w:lineRule="auto"/>
        <w:rPr>
          <w:color w:val="auto"/>
          <w:sz w:val="24"/>
        </w:rPr>
      </w:pPr>
      <w:r>
        <w:rPr>
          <w:rFonts w:hAnsi="宋体"/>
          <w:color w:val="auto"/>
          <w:sz w:val="24"/>
        </w:rPr>
        <w:t>制造年月；</w:t>
      </w:r>
    </w:p>
    <w:p>
      <w:pPr>
        <w:numPr>
          <w:ilvl w:val="1"/>
          <w:numId w:val="5"/>
        </w:numPr>
        <w:spacing w:line="324" w:lineRule="auto"/>
        <w:rPr>
          <w:rFonts w:hint="eastAsia"/>
          <w:color w:val="auto"/>
          <w:sz w:val="24"/>
        </w:rPr>
      </w:pPr>
      <w:r>
        <w:rPr>
          <w:rFonts w:hAnsi="宋体"/>
          <w:color w:val="auto"/>
          <w:sz w:val="24"/>
        </w:rPr>
        <w:t>适用环境温度范围</w:t>
      </w:r>
      <w:r>
        <w:rPr>
          <w:rFonts w:hint="eastAsia" w:hAnsi="宋体"/>
          <w:color w:val="auto"/>
          <w:sz w:val="24"/>
        </w:rPr>
        <w:t>（如果是-10℃～+40℃可不标注）</w:t>
      </w:r>
      <w:r>
        <w:rPr>
          <w:rFonts w:hAnsi="宋体"/>
          <w:color w:val="auto"/>
          <w:sz w:val="24"/>
        </w:rPr>
        <w:t>；</w:t>
      </w:r>
    </w:p>
    <w:p>
      <w:pPr>
        <w:numPr>
          <w:ilvl w:val="1"/>
          <w:numId w:val="5"/>
        </w:numPr>
        <w:spacing w:line="324" w:lineRule="auto"/>
        <w:rPr>
          <w:rFonts w:hAnsi="宋体"/>
          <w:color w:val="auto"/>
          <w:sz w:val="24"/>
        </w:rPr>
      </w:pPr>
      <w:r>
        <w:rPr>
          <w:rFonts w:hint="eastAsia"/>
          <w:color w:val="auto"/>
          <w:sz w:val="24"/>
        </w:rPr>
        <w:t>电源电压；</w:t>
      </w:r>
    </w:p>
    <w:p>
      <w:pPr>
        <w:numPr>
          <w:ilvl w:val="1"/>
          <w:numId w:val="5"/>
        </w:numPr>
        <w:spacing w:line="324" w:lineRule="auto"/>
        <w:rPr>
          <w:rFonts w:hAnsi="宋体"/>
          <w:color w:val="auto"/>
          <w:sz w:val="24"/>
        </w:rPr>
      </w:pPr>
      <w:r>
        <w:rPr>
          <w:rFonts w:hint="eastAsia" w:hAnsi="宋体"/>
          <w:color w:val="auto"/>
          <w:sz w:val="24"/>
        </w:rPr>
        <w:t>内置电池更换时间；</w:t>
      </w:r>
    </w:p>
    <w:p>
      <w:pPr>
        <w:numPr>
          <w:ilvl w:val="1"/>
          <w:numId w:val="5"/>
        </w:numPr>
        <w:spacing w:line="324" w:lineRule="auto"/>
        <w:rPr>
          <w:rFonts w:hint="eastAsia" w:hAnsi="宋体"/>
          <w:color w:val="auto"/>
          <w:sz w:val="24"/>
        </w:rPr>
      </w:pPr>
      <w:r>
        <w:rPr>
          <w:rFonts w:hint="eastAsia" w:hAnsi="宋体"/>
          <w:color w:val="auto"/>
          <w:sz w:val="24"/>
        </w:rPr>
        <w:t>防爆标志及编号；</w:t>
      </w:r>
    </w:p>
    <w:p>
      <w:pPr>
        <w:numPr>
          <w:ilvl w:val="1"/>
          <w:numId w:val="5"/>
        </w:numPr>
        <w:spacing w:line="324" w:lineRule="auto"/>
        <w:rPr>
          <w:rFonts w:hint="eastAsia" w:hAnsi="宋体"/>
          <w:color w:val="auto"/>
          <w:sz w:val="24"/>
        </w:rPr>
      </w:pPr>
      <w:r>
        <w:rPr>
          <w:rFonts w:hint="eastAsia" w:hAnsi="宋体"/>
          <w:color w:val="auto"/>
          <w:sz w:val="24"/>
        </w:rPr>
        <w:t>信号输出类型（适用于带信号输出的燃气表）；</w:t>
      </w:r>
    </w:p>
    <w:p>
      <w:pPr>
        <w:numPr>
          <w:ilvl w:val="1"/>
          <w:numId w:val="5"/>
        </w:numPr>
        <w:spacing w:line="324" w:lineRule="auto"/>
        <w:rPr>
          <w:rFonts w:hint="eastAsia" w:hAnsi="宋体"/>
          <w:color w:val="auto"/>
          <w:sz w:val="24"/>
        </w:rPr>
      </w:pPr>
      <w:r>
        <w:rPr>
          <w:rFonts w:hAnsi="宋体"/>
          <w:color w:val="auto"/>
          <w:sz w:val="24"/>
        </w:rPr>
        <w:t>气体流向的箭头或文字</w:t>
      </w:r>
      <w:r>
        <w:rPr>
          <w:rFonts w:hint="eastAsia" w:hAnsi="宋体"/>
          <w:color w:val="auto"/>
          <w:sz w:val="24"/>
        </w:rPr>
        <w:t>。</w:t>
      </w:r>
    </w:p>
    <w:p>
      <w:pPr>
        <w:spacing w:line="324" w:lineRule="auto"/>
        <w:ind w:left="420"/>
        <w:rPr>
          <w:rFonts w:hint="eastAsia" w:ascii="仿宋" w:hAnsi="仿宋" w:eastAsia="仿宋"/>
          <w:color w:val="auto"/>
          <w:szCs w:val="21"/>
        </w:rPr>
      </w:pPr>
      <w:r>
        <w:rPr>
          <w:rFonts w:hint="eastAsia" w:ascii="仿宋" w:hAnsi="仿宋" w:eastAsia="仿宋"/>
          <w:color w:val="auto"/>
          <w:szCs w:val="21"/>
        </w:rPr>
        <w:t>注：</w:t>
      </w:r>
    </w:p>
    <w:p>
      <w:pPr>
        <w:spacing w:line="324" w:lineRule="auto"/>
        <w:ind w:firstLine="371" w:firstLineChars="177"/>
        <w:rPr>
          <w:rFonts w:hint="eastAsia" w:ascii="仿宋" w:hAnsi="仿宋" w:eastAsia="仿宋"/>
          <w:color w:val="auto"/>
          <w:szCs w:val="21"/>
        </w:rPr>
      </w:pPr>
      <w:r>
        <w:rPr>
          <w:rFonts w:hint="eastAsia" w:ascii="仿宋" w:hAnsi="仿宋" w:eastAsia="仿宋"/>
          <w:color w:val="auto"/>
          <w:szCs w:val="21"/>
        </w:rPr>
        <w:t>1</w:t>
      </w:r>
      <w:r>
        <w:rPr>
          <w:rFonts w:ascii="仿宋" w:hAnsi="仿宋" w:eastAsia="仿宋"/>
          <w:color w:val="auto"/>
          <w:szCs w:val="21"/>
        </w:rPr>
        <w:t>对于单向计量的燃气表，</w:t>
      </w:r>
      <w:r>
        <w:rPr>
          <w:rFonts w:hint="eastAsia" w:ascii="仿宋" w:hAnsi="仿宋" w:eastAsia="仿宋"/>
          <w:color w:val="auto"/>
          <w:szCs w:val="21"/>
        </w:rPr>
        <w:t>在表体上</w:t>
      </w:r>
      <w:r>
        <w:rPr>
          <w:rFonts w:ascii="仿宋" w:hAnsi="仿宋" w:eastAsia="仿宋"/>
          <w:color w:val="auto"/>
          <w:szCs w:val="21"/>
        </w:rPr>
        <w:t>应</w:t>
      </w:r>
      <w:r>
        <w:rPr>
          <w:rFonts w:hint="eastAsia" w:ascii="仿宋" w:hAnsi="仿宋" w:eastAsia="仿宋"/>
          <w:color w:val="auto"/>
          <w:szCs w:val="21"/>
        </w:rPr>
        <w:t>采用一种简洁明了的方式标识气体</w:t>
      </w:r>
      <w:r>
        <w:rPr>
          <w:rFonts w:ascii="仿宋" w:hAnsi="仿宋" w:eastAsia="仿宋"/>
          <w:color w:val="auto"/>
          <w:szCs w:val="21"/>
        </w:rPr>
        <w:t>流向。</w:t>
      </w:r>
    </w:p>
    <w:p>
      <w:pPr>
        <w:spacing w:line="324" w:lineRule="auto"/>
        <w:ind w:firstLine="371" w:firstLineChars="177"/>
        <w:rPr>
          <w:rFonts w:hint="eastAsia" w:hAnsi="宋体"/>
          <w:color w:val="auto"/>
          <w:sz w:val="24"/>
        </w:rPr>
      </w:pPr>
      <w:r>
        <w:rPr>
          <w:rFonts w:hint="eastAsia" w:ascii="仿宋" w:hAnsi="仿宋" w:eastAsia="仿宋"/>
          <w:color w:val="auto"/>
          <w:szCs w:val="21"/>
        </w:rPr>
        <w:t>2对于双向</w:t>
      </w:r>
      <w:r>
        <w:rPr>
          <w:rFonts w:ascii="仿宋" w:hAnsi="仿宋" w:eastAsia="仿宋"/>
          <w:color w:val="auto"/>
          <w:szCs w:val="21"/>
        </w:rPr>
        <w:t>计量</w:t>
      </w:r>
      <w:r>
        <w:rPr>
          <w:rFonts w:hint="eastAsia" w:ascii="仿宋" w:hAnsi="仿宋" w:eastAsia="仿宋"/>
          <w:color w:val="auto"/>
          <w:szCs w:val="21"/>
        </w:rPr>
        <w:t>的</w:t>
      </w:r>
      <w:r>
        <w:rPr>
          <w:rFonts w:ascii="仿宋" w:hAnsi="仿宋" w:eastAsia="仿宋"/>
          <w:color w:val="auto"/>
          <w:szCs w:val="21"/>
        </w:rPr>
        <w:t>燃气表</w:t>
      </w:r>
      <w:r>
        <w:rPr>
          <w:rFonts w:hint="eastAsia" w:ascii="仿宋" w:hAnsi="仿宋" w:eastAsia="仿宋"/>
          <w:color w:val="auto"/>
          <w:szCs w:val="21"/>
        </w:rPr>
        <w:t>，应在</w:t>
      </w:r>
      <w:r>
        <w:rPr>
          <w:rFonts w:ascii="仿宋" w:hAnsi="仿宋" w:eastAsia="仿宋"/>
          <w:color w:val="auto"/>
          <w:szCs w:val="21"/>
        </w:rPr>
        <w:t>燃气表</w:t>
      </w:r>
      <w:r>
        <w:rPr>
          <w:rFonts w:hint="eastAsia" w:ascii="仿宋" w:hAnsi="仿宋" w:eastAsia="仿宋"/>
          <w:color w:val="auto"/>
          <w:szCs w:val="21"/>
        </w:rPr>
        <w:t>上用双箭头标识气体</w:t>
      </w:r>
      <w:r>
        <w:rPr>
          <w:rFonts w:ascii="仿宋" w:hAnsi="仿宋" w:eastAsia="仿宋"/>
          <w:color w:val="auto"/>
          <w:szCs w:val="21"/>
        </w:rPr>
        <w:t>流向</w:t>
      </w:r>
      <w:r>
        <w:rPr>
          <w:rFonts w:hint="eastAsia" w:ascii="仿宋" w:hAnsi="仿宋" w:eastAsia="仿宋"/>
          <w:color w:val="auto"/>
          <w:szCs w:val="21"/>
        </w:rPr>
        <w:t>。</w:t>
      </w:r>
    </w:p>
    <w:p>
      <w:pPr>
        <w:pStyle w:val="4"/>
        <w:keepLines w:val="0"/>
        <w:widowControl/>
        <w:numPr>
          <w:ilvl w:val="0"/>
          <w:numId w:val="4"/>
        </w:numPr>
        <w:spacing w:before="0" w:after="0" w:line="324" w:lineRule="auto"/>
        <w:jc w:val="left"/>
        <w:rPr>
          <w:b w:val="0"/>
          <w:color w:val="auto"/>
          <w:sz w:val="24"/>
          <w:szCs w:val="24"/>
        </w:rPr>
      </w:pPr>
      <w:bookmarkStart w:id="151" w:name="_Toc295726479"/>
      <w:bookmarkStart w:id="152" w:name="_Toc301019277"/>
      <w:bookmarkStart w:id="153" w:name="_Toc301019315"/>
      <w:bookmarkStart w:id="154" w:name="_Toc301019383"/>
      <w:bookmarkStart w:id="155" w:name="_Toc327459471"/>
      <w:bookmarkStart w:id="156" w:name="_Toc468349710"/>
      <w:r>
        <w:rPr>
          <w:rFonts w:hAnsi="宋体"/>
          <w:b w:val="0"/>
          <w:color w:val="auto"/>
          <w:sz w:val="24"/>
          <w:szCs w:val="24"/>
        </w:rPr>
        <w:t>外观</w:t>
      </w:r>
      <w:bookmarkEnd w:id="151"/>
      <w:bookmarkEnd w:id="152"/>
      <w:bookmarkEnd w:id="153"/>
      <w:bookmarkEnd w:id="154"/>
      <w:bookmarkEnd w:id="155"/>
      <w:bookmarkEnd w:id="156"/>
    </w:p>
    <w:p>
      <w:pPr>
        <w:tabs>
          <w:tab w:val="left" w:pos="567"/>
        </w:tabs>
        <w:spacing w:line="324" w:lineRule="auto"/>
        <w:ind w:firstLine="424" w:firstLineChars="177"/>
        <w:rPr>
          <w:rFonts w:hint="eastAsia" w:hAnsi="宋体"/>
          <w:color w:val="auto"/>
          <w:sz w:val="24"/>
        </w:rPr>
      </w:pPr>
      <w:bookmarkStart w:id="157" w:name="_Toc301019384"/>
      <w:bookmarkStart w:id="158" w:name="_Toc301019316"/>
      <w:bookmarkStart w:id="159" w:name="_Toc301019278"/>
      <w:bookmarkStart w:id="160" w:name="_Toc295726480"/>
      <w:r>
        <w:rPr>
          <w:rFonts w:hAnsi="宋体"/>
          <w:color w:val="auto"/>
          <w:sz w:val="24"/>
        </w:rPr>
        <w:t>新制造</w:t>
      </w:r>
      <w:r>
        <w:rPr>
          <w:rFonts w:hint="eastAsia" w:hAnsi="宋体"/>
          <w:color w:val="auto"/>
          <w:sz w:val="24"/>
        </w:rPr>
        <w:t>的</w:t>
      </w:r>
      <w:r>
        <w:rPr>
          <w:rFonts w:hAnsi="宋体"/>
          <w:color w:val="auto"/>
          <w:sz w:val="24"/>
        </w:rPr>
        <w:t>燃气表外壳涂层应均匀，不</w:t>
      </w:r>
      <w:r>
        <w:rPr>
          <w:rFonts w:hint="eastAsia" w:hAnsi="宋体"/>
          <w:color w:val="auto"/>
          <w:sz w:val="24"/>
        </w:rPr>
        <w:t>应</w:t>
      </w:r>
      <w:r>
        <w:rPr>
          <w:rFonts w:hAnsi="宋体"/>
          <w:color w:val="auto"/>
          <w:sz w:val="24"/>
        </w:rPr>
        <w:t>有</w:t>
      </w:r>
      <w:r>
        <w:rPr>
          <w:rFonts w:hint="eastAsia" w:hAnsi="宋体"/>
          <w:color w:val="auto"/>
          <w:sz w:val="24"/>
        </w:rPr>
        <w:t>明显的</w:t>
      </w:r>
      <w:r>
        <w:rPr>
          <w:rFonts w:hAnsi="宋体"/>
          <w:color w:val="auto"/>
          <w:sz w:val="24"/>
        </w:rPr>
        <w:t>气泡、脱落、划痕等现象。</w:t>
      </w:r>
      <w:r>
        <w:rPr>
          <w:rFonts w:hint="eastAsia" w:hAnsi="宋体"/>
          <w:color w:val="auto"/>
          <w:sz w:val="24"/>
        </w:rPr>
        <w:t>燃气表的零部件和连接件应能耐燃气介质腐蚀或具有可靠的防腐层。</w:t>
      </w:r>
    </w:p>
    <w:p>
      <w:pPr>
        <w:pStyle w:val="4"/>
        <w:keepLines w:val="0"/>
        <w:widowControl/>
        <w:numPr>
          <w:ilvl w:val="0"/>
          <w:numId w:val="4"/>
        </w:numPr>
        <w:spacing w:before="0" w:after="0" w:line="324" w:lineRule="auto"/>
        <w:jc w:val="left"/>
        <w:rPr>
          <w:rFonts w:hint="eastAsia" w:hAnsi="宋体"/>
          <w:b w:val="0"/>
          <w:color w:val="auto"/>
          <w:sz w:val="24"/>
          <w:szCs w:val="24"/>
        </w:rPr>
      </w:pPr>
      <w:bookmarkStart w:id="161" w:name="_Toc468349711"/>
      <w:r>
        <w:rPr>
          <w:rFonts w:hint="eastAsia" w:hAnsi="宋体"/>
          <w:b w:val="0"/>
          <w:color w:val="auto"/>
          <w:sz w:val="24"/>
          <w:szCs w:val="24"/>
        </w:rPr>
        <w:t>封印</w:t>
      </w:r>
      <w:bookmarkEnd w:id="161"/>
    </w:p>
    <w:p>
      <w:pPr>
        <w:spacing w:line="324" w:lineRule="auto"/>
        <w:rPr>
          <w:rFonts w:hint="eastAsia" w:hAnsi="宋体"/>
          <w:color w:val="auto"/>
          <w:sz w:val="24"/>
        </w:rPr>
      </w:pPr>
      <w:r>
        <w:rPr>
          <w:rFonts w:hint="eastAsia" w:hAnsi="宋体"/>
          <w:color w:val="auto"/>
          <w:sz w:val="24"/>
        </w:rPr>
        <w:t>6.3.1 机械封印</w:t>
      </w:r>
    </w:p>
    <w:p>
      <w:pPr>
        <w:spacing w:line="324" w:lineRule="auto"/>
        <w:ind w:firstLine="480" w:firstLineChars="200"/>
        <w:rPr>
          <w:rFonts w:hint="eastAsia" w:hAnsi="宋体"/>
          <w:color w:val="auto"/>
          <w:sz w:val="24"/>
        </w:rPr>
      </w:pPr>
      <w:r>
        <w:rPr>
          <w:rFonts w:hint="eastAsia" w:hAnsi="宋体"/>
          <w:color w:val="auto"/>
          <w:sz w:val="24"/>
        </w:rPr>
        <w:t>燃气表应具有防护装置即不经破坏不能打开的封印。凡能影响计量准确度的任何人为或机械干扰，应在检定封印上或保护标志上留下可见的永久性的损坏痕迹。</w:t>
      </w:r>
    </w:p>
    <w:p>
      <w:pPr>
        <w:spacing w:line="324" w:lineRule="auto"/>
        <w:rPr>
          <w:rFonts w:hint="eastAsia" w:hAnsi="宋体"/>
          <w:color w:val="auto"/>
          <w:sz w:val="24"/>
        </w:rPr>
      </w:pPr>
      <w:r>
        <w:rPr>
          <w:rFonts w:hint="eastAsia" w:hAnsi="宋体"/>
          <w:color w:val="auto"/>
          <w:sz w:val="24"/>
        </w:rPr>
        <w:t xml:space="preserve">6.3.2 电子封印                                           </w:t>
      </w:r>
    </w:p>
    <w:p>
      <w:pPr>
        <w:spacing w:line="324" w:lineRule="auto"/>
        <w:ind w:left="239" w:leftChars="114" w:firstLine="240" w:firstLineChars="100"/>
        <w:rPr>
          <w:rFonts w:hint="eastAsia" w:hAnsi="宋体"/>
          <w:color w:val="auto"/>
          <w:sz w:val="24"/>
        </w:rPr>
      </w:pPr>
      <w:r>
        <w:rPr>
          <w:rFonts w:hint="eastAsia" w:hAnsi="宋体"/>
          <w:color w:val="auto"/>
          <w:sz w:val="24"/>
        </w:rPr>
        <w:t>当需要对确定测量结果有影响的参数需要限制访问时，经国家有关机构许可，可采用电子封印对这些参数加以保护，采用电子封印应满足下列规定：</w:t>
      </w:r>
    </w:p>
    <w:p>
      <w:pPr>
        <w:spacing w:line="324" w:lineRule="auto"/>
        <w:ind w:left="959" w:leftChars="228" w:hanging="480" w:hangingChars="200"/>
        <w:rPr>
          <w:rFonts w:hint="eastAsia" w:hAnsi="宋体"/>
          <w:color w:val="auto"/>
          <w:sz w:val="24"/>
        </w:rPr>
      </w:pPr>
      <w:r>
        <w:rPr>
          <w:rFonts w:hint="eastAsia" w:hAnsi="宋体"/>
          <w:color w:val="auto"/>
          <w:sz w:val="24"/>
        </w:rPr>
        <w:pict>
          <v:shape id="_x0000_s1033" o:spid="_x0000_s1033" o:spt="136" type="#_x0000_t136" style="position:absolute;left:0pt;margin-left:104.05pt;margin-top:230.05pt;height:45pt;width:450.05pt;mso-position-horizontal-relative:page;rotation:2949120f;z-index:-251658240;mso-width-relative:page;mso-height-relative:page;" fillcolor="#BFBFBF" filled="t" stroked="f" coordsize="21600,21600">
            <v:path/>
            <v:fill on="t" focussize="0,0"/>
            <v:stroke on="f"/>
            <v:imagedata o:title=""/>
            <o:lock v:ext="edit"/>
            <v:textpath on="t" fitshape="t" fitpath="t" trim="t" xscale="f" string="湖南省计量检测研究院" style="font-family:&amp;quot;font-size:45pt;v-text-align:center;"/>
          </v:shape>
        </w:pict>
      </w:r>
      <w:r>
        <w:rPr>
          <w:rFonts w:hint="eastAsia" w:hAnsi="宋体"/>
          <w:color w:val="auto"/>
          <w:sz w:val="24"/>
        </w:rPr>
        <w:t>a)  仅允许获授权人员使用代码（密码）或者专门的装置（硬件密匙等）等安全工具，进入设置模式修改这些参数：</w:t>
      </w:r>
    </w:p>
    <w:p>
      <w:pPr>
        <w:spacing w:line="324" w:lineRule="auto"/>
        <w:ind w:left="958" w:leftChars="456"/>
        <w:rPr>
          <w:rFonts w:hint="eastAsia" w:hAnsi="宋体"/>
          <w:color w:val="auto"/>
          <w:sz w:val="24"/>
        </w:rPr>
      </w:pPr>
      <w:r>
        <w:rPr>
          <w:rFonts w:hint="eastAsia" w:hAnsi="宋体"/>
          <w:color w:val="auto"/>
          <w:sz w:val="24"/>
        </w:rPr>
        <w:t>——对于参数无任何修改的访问，访问后，燃气表可不受限制地返回到“封印状态”下继续运行；</w:t>
      </w:r>
    </w:p>
    <w:p>
      <w:pPr>
        <w:spacing w:line="324" w:lineRule="auto"/>
        <w:ind w:firstLine="960" w:firstLineChars="400"/>
        <w:rPr>
          <w:rFonts w:hint="eastAsia" w:hAnsi="宋体"/>
          <w:color w:val="auto"/>
          <w:sz w:val="24"/>
        </w:rPr>
      </w:pPr>
      <w:r>
        <w:rPr>
          <w:rFonts w:hint="eastAsia" w:hAnsi="宋体"/>
          <w:color w:val="auto"/>
          <w:sz w:val="24"/>
        </w:rPr>
        <w:t>——参数修改后，经确认再返回到“封印状态”下继续运行(与传统封印相似)。</w:t>
      </w:r>
    </w:p>
    <w:p>
      <w:pPr>
        <w:spacing w:line="324" w:lineRule="auto"/>
        <w:ind w:firstLine="480" w:firstLineChars="200"/>
        <w:rPr>
          <w:rFonts w:hint="eastAsia" w:hAnsi="宋体"/>
          <w:color w:val="auto"/>
          <w:sz w:val="24"/>
        </w:rPr>
      </w:pPr>
      <w:r>
        <w:rPr>
          <w:rFonts w:hint="eastAsia" w:hAnsi="宋体"/>
          <w:color w:val="auto"/>
          <w:sz w:val="24"/>
        </w:rPr>
        <w:t>b)  代码（密码）应可更改；</w:t>
      </w:r>
    </w:p>
    <w:p>
      <w:pPr>
        <w:spacing w:line="324" w:lineRule="auto"/>
        <w:ind w:left="959" w:leftChars="228" w:hanging="480" w:hangingChars="200"/>
        <w:rPr>
          <w:rFonts w:hint="eastAsia" w:hAnsi="宋体"/>
          <w:color w:val="auto"/>
          <w:sz w:val="24"/>
        </w:rPr>
      </w:pPr>
      <w:r>
        <w:rPr>
          <w:rFonts w:hint="eastAsia" w:hAnsi="宋体"/>
          <w:color w:val="auto"/>
          <w:sz w:val="24"/>
        </w:rPr>
        <w:t>c)  在设置模式（不在法制计量管理控制）下，燃气表应停止工作并有清晰显示。在按照 a）条规定在“封印状态”下投入运行之前，燃气表应一直保持此状态；</w:t>
      </w:r>
    </w:p>
    <w:p>
      <w:pPr>
        <w:spacing w:line="324" w:lineRule="auto"/>
        <w:ind w:left="959" w:leftChars="228" w:hanging="480" w:hangingChars="200"/>
        <w:rPr>
          <w:rFonts w:hint="eastAsia" w:hAnsi="宋体"/>
          <w:color w:val="auto"/>
          <w:sz w:val="24"/>
        </w:rPr>
      </w:pPr>
      <w:r>
        <w:rPr>
          <w:rFonts w:hint="eastAsia" w:hAnsi="宋体"/>
          <w:color w:val="auto"/>
          <w:sz w:val="24"/>
        </w:rPr>
        <w:t>d)  应在事件记录器中至少保存最近一次参数修改记录。记录至少应包含以下内容：</w:t>
      </w:r>
    </w:p>
    <w:p>
      <w:pPr>
        <w:spacing w:line="324" w:lineRule="auto"/>
        <w:ind w:firstLine="960" w:firstLineChars="400"/>
        <w:rPr>
          <w:rFonts w:hint="eastAsia" w:hAnsi="宋体"/>
          <w:color w:val="auto"/>
          <w:sz w:val="24"/>
        </w:rPr>
      </w:pPr>
      <w:r>
        <w:rPr>
          <w:rFonts w:hint="eastAsia" w:hAnsi="宋体"/>
          <w:color w:val="auto"/>
          <w:sz w:val="24"/>
        </w:rPr>
        <w:t>——执行参数修改的获授权人员的身份信息；</w:t>
      </w:r>
    </w:p>
    <w:p>
      <w:pPr>
        <w:spacing w:line="324" w:lineRule="auto"/>
        <w:ind w:firstLine="960" w:firstLineChars="400"/>
        <w:rPr>
          <w:rFonts w:hint="eastAsia" w:hAnsi="宋体"/>
          <w:color w:val="auto"/>
          <w:sz w:val="24"/>
        </w:rPr>
      </w:pPr>
      <w:r>
        <w:rPr>
          <w:rFonts w:hint="eastAsia" w:hAnsi="宋体"/>
          <w:color w:val="auto"/>
          <w:sz w:val="24"/>
        </w:rPr>
        <w:t>——内部时钟产生的事件记数器或修改参数的日期和时间。</w:t>
      </w:r>
    </w:p>
    <w:p>
      <w:pPr>
        <w:spacing w:line="324" w:lineRule="auto"/>
        <w:ind w:firstLine="960" w:firstLineChars="400"/>
        <w:rPr>
          <w:rFonts w:hint="eastAsia" w:hAnsi="宋体"/>
          <w:color w:val="auto"/>
          <w:sz w:val="24"/>
        </w:rPr>
      </w:pPr>
      <w:r>
        <w:rPr>
          <w:rFonts w:hint="eastAsia" w:hAnsi="宋体"/>
          <w:color w:val="auto"/>
          <w:sz w:val="24"/>
        </w:rPr>
        <w:t>——被更改的参数的原值；</w:t>
      </w:r>
    </w:p>
    <w:p>
      <w:pPr>
        <w:spacing w:line="324" w:lineRule="auto"/>
        <w:ind w:firstLine="960" w:firstLineChars="400"/>
        <w:rPr>
          <w:rFonts w:hint="eastAsia" w:hAnsi="宋体"/>
          <w:color w:val="auto"/>
          <w:sz w:val="24"/>
        </w:rPr>
      </w:pPr>
      <w:r>
        <w:rPr>
          <w:rFonts w:hint="eastAsia" w:hAnsi="宋体"/>
          <w:color w:val="auto"/>
          <w:sz w:val="24"/>
        </w:rPr>
        <w:t>——记录的总条数。</w:t>
      </w:r>
    </w:p>
    <w:p>
      <w:pPr>
        <w:pStyle w:val="8"/>
        <w:spacing w:line="316" w:lineRule="auto"/>
        <w:ind w:right="192" w:firstLine="480" w:firstLineChars="200"/>
        <w:rPr>
          <w:color w:val="auto"/>
        </w:rPr>
      </w:pPr>
      <w:r>
        <w:rPr>
          <w:color w:val="auto"/>
        </w:rPr>
        <w:t>应确保最近一次参数修改的可追溯性。如果可以存储多次修改记录，在必须删除以前的修改记录才可存储新记录时，应</w:t>
      </w:r>
      <w:r>
        <w:rPr>
          <w:rFonts w:hint="eastAsia"/>
          <w:color w:val="auto"/>
        </w:rPr>
        <w:t>按时间先后顺序进行</w:t>
      </w:r>
      <w:r>
        <w:rPr>
          <w:color w:val="auto"/>
        </w:rPr>
        <w:t>。</w:t>
      </w:r>
    </w:p>
    <w:bookmarkEnd w:id="157"/>
    <w:bookmarkEnd w:id="158"/>
    <w:bookmarkEnd w:id="159"/>
    <w:bookmarkEnd w:id="160"/>
    <w:p>
      <w:pPr>
        <w:pStyle w:val="4"/>
        <w:keepLines w:val="0"/>
        <w:widowControl/>
        <w:spacing w:before="0" w:after="0" w:line="324" w:lineRule="auto"/>
        <w:jc w:val="left"/>
        <w:rPr>
          <w:rFonts w:hint="eastAsia" w:hAnsi="宋体" w:eastAsia="Calibri"/>
          <w:b w:val="0"/>
          <w:color w:val="auto"/>
          <w:sz w:val="24"/>
          <w:szCs w:val="24"/>
        </w:rPr>
      </w:pPr>
      <w:bookmarkStart w:id="162" w:name="_Toc295726481"/>
      <w:bookmarkStart w:id="163" w:name="_Toc301019279"/>
      <w:bookmarkStart w:id="164" w:name="_Toc301019317"/>
      <w:bookmarkStart w:id="165" w:name="_Toc301019385"/>
      <w:bookmarkStart w:id="166" w:name="_Toc327459473"/>
      <w:bookmarkStart w:id="167" w:name="_Toc468349712"/>
      <w:r>
        <w:rPr>
          <w:rFonts w:hint="eastAsia" w:hAnsi="宋体"/>
          <w:b w:val="0"/>
          <w:color w:val="auto"/>
          <w:sz w:val="24"/>
          <w:szCs w:val="24"/>
        </w:rPr>
        <w:t>6.4</w:t>
      </w:r>
      <w:bookmarkEnd w:id="162"/>
      <w:bookmarkEnd w:id="163"/>
      <w:bookmarkEnd w:id="164"/>
      <w:bookmarkEnd w:id="165"/>
      <w:bookmarkEnd w:id="166"/>
      <w:bookmarkEnd w:id="167"/>
      <w:r>
        <w:rPr>
          <w:rFonts w:hint="eastAsia" w:hAnsi="宋体"/>
          <w:b w:val="0"/>
          <w:color w:val="auto"/>
          <w:sz w:val="24"/>
          <w:szCs w:val="24"/>
        </w:rPr>
        <w:t>指示装置</w:t>
      </w:r>
    </w:p>
    <w:p>
      <w:pPr>
        <w:spacing w:line="324" w:lineRule="auto"/>
        <w:ind w:firstLine="480" w:firstLineChars="200"/>
        <w:rPr>
          <w:rFonts w:hint="eastAsia" w:hAnsi="宋体"/>
          <w:color w:val="auto"/>
          <w:sz w:val="24"/>
        </w:rPr>
      </w:pPr>
      <w:r>
        <w:rPr>
          <w:rFonts w:hint="eastAsia" w:ascii="宋体" w:cs="宋体"/>
          <w:color w:val="auto"/>
          <w:kern w:val="0"/>
          <w:sz w:val="24"/>
        </w:rPr>
        <w:t>燃气表的显示器</w:t>
      </w:r>
      <w:r>
        <w:rPr>
          <w:rFonts w:hint="eastAsia" w:hAnsi="宋体"/>
          <w:color w:val="auto"/>
          <w:sz w:val="24"/>
        </w:rPr>
        <w:t>在（-10℃～+40℃）下</w:t>
      </w:r>
      <w:r>
        <w:rPr>
          <w:rFonts w:hint="eastAsia" w:ascii="宋体" w:cs="宋体"/>
          <w:color w:val="auto"/>
          <w:kern w:val="0"/>
          <w:sz w:val="24"/>
        </w:rPr>
        <w:t>应</w:t>
      </w:r>
      <w:r>
        <w:rPr>
          <w:rFonts w:hint="eastAsia" w:hAnsi="宋体"/>
          <w:color w:val="auto"/>
          <w:sz w:val="24"/>
        </w:rPr>
        <w:t>清晰易读，显示的数字和表示功能的文字或</w:t>
      </w:r>
      <w:r>
        <w:rPr>
          <w:rFonts w:hint="eastAsia" w:ascii="宋体" w:cs="宋体"/>
          <w:color w:val="auto"/>
          <w:kern w:val="0"/>
          <w:sz w:val="24"/>
        </w:rPr>
        <w:t>符号</w:t>
      </w:r>
      <w:r>
        <w:rPr>
          <w:rFonts w:hint="eastAsia" w:hAnsi="宋体"/>
          <w:color w:val="auto"/>
          <w:sz w:val="24"/>
        </w:rPr>
        <w:t>应完整、整齐，无缺段、缺码等现象。休眠状态可以通过按钮（或插卡、手持器）等方式唤醒。</w:t>
      </w:r>
    </w:p>
    <w:p>
      <w:pPr>
        <w:spacing w:line="324" w:lineRule="auto"/>
        <w:ind w:firstLine="480" w:firstLineChars="200"/>
        <w:rPr>
          <w:rFonts w:hint="eastAsia" w:hAnsi="宋体"/>
          <w:color w:val="auto"/>
          <w:sz w:val="24"/>
        </w:rPr>
      </w:pPr>
      <w:r>
        <w:rPr>
          <w:rFonts w:hint="eastAsia"/>
          <w:color w:val="auto"/>
          <w:sz w:val="24"/>
        </w:rPr>
        <w:t>对于具有通讯功能的燃气表，采用通讯方法获取的燃气表起始值和终止值，应与燃气表当前的指示值相一致。</w:t>
      </w:r>
    </w:p>
    <w:p>
      <w:pPr>
        <w:spacing w:line="324" w:lineRule="auto"/>
        <w:ind w:firstLine="480" w:firstLineChars="200"/>
        <w:rPr>
          <w:rFonts w:hint="eastAsia"/>
          <w:color w:val="auto"/>
        </w:rPr>
      </w:pPr>
      <w:r>
        <w:rPr>
          <w:rFonts w:hint="eastAsia" w:ascii="宋体"/>
          <w:color w:val="auto"/>
          <w:sz w:val="24"/>
        </w:rPr>
        <w:t>计数器应至少能满足燃气表累积流量在最大流量下工作8000h的累积流量。</w:t>
      </w:r>
    </w:p>
    <w:p>
      <w:pPr>
        <w:tabs>
          <w:tab w:val="left" w:pos="567"/>
        </w:tabs>
        <w:adjustRightInd w:val="0"/>
        <w:snapToGrid w:val="0"/>
        <w:spacing w:line="324" w:lineRule="auto"/>
        <w:rPr>
          <w:color w:val="auto"/>
          <w:sz w:val="24"/>
        </w:rPr>
      </w:pPr>
      <w:r>
        <w:rPr>
          <w:color w:val="auto"/>
          <w:sz w:val="24"/>
        </w:rPr>
        <w:t>6.</w:t>
      </w:r>
      <w:r>
        <w:rPr>
          <w:rFonts w:hint="eastAsia"/>
          <w:color w:val="auto"/>
          <w:sz w:val="24"/>
        </w:rPr>
        <w:t>4</w:t>
      </w:r>
      <w:r>
        <w:rPr>
          <w:color w:val="auto"/>
          <w:sz w:val="24"/>
        </w:rPr>
        <w:t>.1</w:t>
      </w:r>
      <w:r>
        <w:rPr>
          <w:rFonts w:hAnsi="宋体"/>
          <w:color w:val="auto"/>
          <w:sz w:val="24"/>
        </w:rPr>
        <w:t>燃气表在正常使用中</w:t>
      </w:r>
      <w:r>
        <w:rPr>
          <w:rFonts w:hint="eastAsia" w:hAnsi="宋体"/>
          <w:color w:val="auto"/>
          <w:sz w:val="24"/>
        </w:rPr>
        <w:t>应能</w:t>
      </w:r>
      <w:r>
        <w:rPr>
          <w:rFonts w:hAnsi="宋体"/>
          <w:color w:val="auto"/>
          <w:sz w:val="24"/>
        </w:rPr>
        <w:t>显示以下内容：</w:t>
      </w:r>
    </w:p>
    <w:p>
      <w:pPr>
        <w:widowControl/>
        <w:numPr>
          <w:ilvl w:val="0"/>
          <w:numId w:val="6"/>
        </w:numPr>
        <w:tabs>
          <w:tab w:val="left" w:pos="586"/>
          <w:tab w:val="clear" w:pos="1562"/>
        </w:tabs>
        <w:adjustRightInd w:val="0"/>
        <w:snapToGrid w:val="0"/>
        <w:spacing w:line="324" w:lineRule="auto"/>
        <w:ind w:left="600" w:hanging="14"/>
        <w:jc w:val="left"/>
        <w:rPr>
          <w:color w:val="auto"/>
          <w:sz w:val="24"/>
        </w:rPr>
      </w:pPr>
      <w:r>
        <w:rPr>
          <w:rFonts w:hAnsi="宋体"/>
          <w:color w:val="auto"/>
          <w:sz w:val="24"/>
        </w:rPr>
        <w:t>累</w:t>
      </w:r>
      <w:r>
        <w:rPr>
          <w:rFonts w:hint="eastAsia" w:hAnsi="宋体"/>
          <w:color w:val="auto"/>
          <w:sz w:val="24"/>
        </w:rPr>
        <w:t>积</w:t>
      </w:r>
      <w:r>
        <w:rPr>
          <w:rFonts w:hAnsi="宋体"/>
          <w:color w:val="auto"/>
          <w:sz w:val="24"/>
        </w:rPr>
        <w:t>流量</w:t>
      </w:r>
      <w:r>
        <w:rPr>
          <w:rFonts w:hint="eastAsia" w:hAnsi="宋体"/>
          <w:color w:val="auto"/>
          <w:sz w:val="24"/>
        </w:rPr>
        <w:t>；</w:t>
      </w:r>
    </w:p>
    <w:p>
      <w:pPr>
        <w:widowControl/>
        <w:numPr>
          <w:ilvl w:val="0"/>
          <w:numId w:val="6"/>
        </w:numPr>
        <w:tabs>
          <w:tab w:val="left" w:pos="586"/>
          <w:tab w:val="clear" w:pos="1562"/>
        </w:tabs>
        <w:adjustRightInd w:val="0"/>
        <w:snapToGrid w:val="0"/>
        <w:spacing w:line="324" w:lineRule="auto"/>
        <w:ind w:left="600" w:hanging="14"/>
        <w:jc w:val="left"/>
        <w:rPr>
          <w:rFonts w:hint="eastAsia" w:hAnsi="宋体"/>
          <w:color w:val="auto"/>
          <w:sz w:val="24"/>
        </w:rPr>
      </w:pPr>
      <w:r>
        <w:rPr>
          <w:rFonts w:hint="eastAsia" w:hAnsi="宋体"/>
          <w:color w:val="auto"/>
          <w:sz w:val="24"/>
        </w:rPr>
        <w:t>购气量和剩余气量（适用于带预付费装置的燃气表）。</w:t>
      </w:r>
    </w:p>
    <w:p>
      <w:pPr>
        <w:tabs>
          <w:tab w:val="left" w:pos="567"/>
        </w:tabs>
        <w:adjustRightInd w:val="0"/>
        <w:snapToGrid w:val="0"/>
        <w:spacing w:line="324" w:lineRule="auto"/>
        <w:ind w:left="-302" w:leftChars="-144" w:firstLine="240" w:firstLineChars="100"/>
        <w:rPr>
          <w:rFonts w:hint="eastAsia" w:hAnsi="宋体"/>
          <w:color w:val="auto"/>
          <w:sz w:val="24"/>
        </w:rPr>
      </w:pPr>
      <w:r>
        <w:rPr>
          <w:rFonts w:hint="eastAsia" w:hAnsi="宋体"/>
          <w:color w:val="auto"/>
          <w:sz w:val="24"/>
        </w:rPr>
        <w:t>6.4.2指示装置的示值分辨力</w:t>
      </w:r>
    </w:p>
    <w:p>
      <w:pPr>
        <w:tabs>
          <w:tab w:val="left" w:pos="567"/>
        </w:tabs>
        <w:adjustRightInd w:val="0"/>
        <w:snapToGrid w:val="0"/>
        <w:spacing w:line="324" w:lineRule="auto"/>
        <w:ind w:firstLine="480" w:firstLineChars="200"/>
        <w:rPr>
          <w:rFonts w:hint="eastAsia" w:hAnsi="宋体"/>
          <w:color w:val="auto"/>
          <w:sz w:val="24"/>
        </w:rPr>
      </w:pPr>
      <w:r>
        <w:rPr>
          <w:rFonts w:hint="eastAsia" w:hAnsi="宋体"/>
          <w:color w:val="auto"/>
          <w:sz w:val="24"/>
        </w:rPr>
        <w:t>燃气表指示装置的示值分辨力</w:t>
      </w:r>
      <w:r>
        <w:rPr>
          <w:rFonts w:hint="eastAsia"/>
          <w:color w:val="auto"/>
          <w:sz w:val="24"/>
        </w:rPr>
        <w:t>应符合表3的规定。</w:t>
      </w:r>
    </w:p>
    <w:p>
      <w:pPr>
        <w:widowControl/>
        <w:spacing w:line="324" w:lineRule="auto"/>
        <w:jc w:val="center"/>
        <w:rPr>
          <w:rFonts w:hint="eastAsia" w:ascii="宋体" w:hAnsi="宋体"/>
          <w:bCs/>
          <w:color w:val="auto"/>
          <w:sz w:val="24"/>
        </w:rPr>
      </w:pPr>
      <w:r>
        <w:rPr>
          <w:rFonts w:hint="eastAsia" w:ascii="宋体" w:hAnsi="宋体"/>
          <w:bCs/>
          <w:color w:val="auto"/>
          <w:sz w:val="24"/>
        </w:rPr>
        <w:t xml:space="preserve">表3 </w:t>
      </w:r>
      <w:r>
        <w:rPr>
          <w:rFonts w:hint="eastAsia" w:ascii="宋体" w:hAnsi="宋体"/>
          <w:bCs/>
          <w:color w:val="auto"/>
          <w:sz w:val="24"/>
          <w:lang w:eastAsia="zh-CN"/>
        </w:rPr>
        <w:t>指示装置</w:t>
      </w:r>
      <w:r>
        <w:rPr>
          <w:rFonts w:hint="eastAsia" w:hAnsi="宋体"/>
          <w:color w:val="auto"/>
          <w:sz w:val="24"/>
        </w:rPr>
        <w:t>的示值分辨力</w:t>
      </w:r>
    </w:p>
    <w:tbl>
      <w:tblPr>
        <w:tblStyle w:val="18"/>
        <w:tblW w:w="86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3119"/>
        <w:gridCol w:w="35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1" w:hRule="atLeast"/>
          <w:jc w:val="center"/>
        </w:trPr>
        <w:tc>
          <w:tcPr>
            <w:tcW w:w="1951" w:type="dxa"/>
            <w:noWrap w:val="0"/>
            <w:vAlign w:val="center"/>
          </w:tcPr>
          <w:p>
            <w:pPr>
              <w:jc w:val="center"/>
              <w:rPr>
                <w:rFonts w:ascii="Times New Roman" w:hAnsi="Times New Roman"/>
                <w:color w:val="auto"/>
                <w:szCs w:val="21"/>
              </w:rPr>
            </w:pPr>
            <w:r>
              <w:rPr>
                <w:rFonts w:ascii="Times New Roman" w:hAnsi="Times New Roman"/>
                <w:color w:val="auto"/>
                <w:szCs w:val="21"/>
              </w:rPr>
              <w:t>最大流量</w:t>
            </w:r>
            <w:r>
              <w:rPr>
                <w:rFonts w:ascii="Times New Roman" w:hAnsi="Times New Roman"/>
                <w:i/>
                <w:color w:val="auto"/>
                <w:szCs w:val="21"/>
              </w:rPr>
              <w:t>q</w:t>
            </w:r>
            <w:r>
              <w:rPr>
                <w:rFonts w:ascii="Times New Roman" w:hAnsi="Times New Roman"/>
                <w:color w:val="auto"/>
                <w:szCs w:val="21"/>
                <w:vertAlign w:val="subscript"/>
              </w:rPr>
              <w:t>max</w:t>
            </w:r>
          </w:p>
          <w:p>
            <w:pPr>
              <w:jc w:val="center"/>
              <w:rPr>
                <w:rFonts w:ascii="Times New Roman" w:hAnsi="Times New Roman"/>
                <w:color w:val="auto"/>
                <w:szCs w:val="21"/>
              </w:rPr>
            </w:pPr>
            <w:r>
              <w:rPr>
                <w:rFonts w:ascii="Times New Roman" w:hAnsi="Times New Roman"/>
                <w:color w:val="auto"/>
                <w:szCs w:val="21"/>
              </w:rPr>
              <w:t>/（m</w:t>
            </w:r>
            <w:r>
              <w:rPr>
                <w:rFonts w:ascii="Times New Roman" w:hAnsi="Times New Roman"/>
                <w:color w:val="auto"/>
                <w:szCs w:val="21"/>
                <w:vertAlign w:val="superscript"/>
              </w:rPr>
              <w:t>3</w:t>
            </w:r>
            <w:r>
              <w:rPr>
                <w:rFonts w:ascii="Times New Roman" w:hAnsi="Times New Roman"/>
                <w:color w:val="auto"/>
                <w:szCs w:val="21"/>
              </w:rPr>
              <w:t>/h）</w:t>
            </w:r>
          </w:p>
        </w:tc>
        <w:tc>
          <w:tcPr>
            <w:tcW w:w="3119" w:type="dxa"/>
            <w:noWrap w:val="0"/>
            <w:vAlign w:val="center"/>
          </w:tcPr>
          <w:p>
            <w:pPr>
              <w:jc w:val="center"/>
              <w:rPr>
                <w:rFonts w:ascii="Times New Roman" w:hAnsi="Times New Roman"/>
                <w:color w:val="auto"/>
                <w:szCs w:val="21"/>
              </w:rPr>
            </w:pPr>
            <w:r>
              <w:rPr>
                <w:rFonts w:ascii="Times New Roman" w:hAnsi="Times New Roman"/>
                <w:color w:val="auto"/>
                <w:szCs w:val="21"/>
              </w:rPr>
              <w:t>检定状态下</w:t>
            </w:r>
          </w:p>
          <w:p>
            <w:pPr>
              <w:jc w:val="center"/>
              <w:rPr>
                <w:rFonts w:ascii="Times New Roman" w:hAnsi="Times New Roman"/>
                <w:color w:val="auto"/>
                <w:szCs w:val="21"/>
              </w:rPr>
            </w:pPr>
            <w:r>
              <w:rPr>
                <w:rFonts w:ascii="Times New Roman" w:hAnsi="Times New Roman"/>
                <w:color w:val="auto"/>
                <w:szCs w:val="21"/>
              </w:rPr>
              <w:t>/L</w:t>
            </w:r>
          </w:p>
        </w:tc>
        <w:tc>
          <w:tcPr>
            <w:tcW w:w="35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color w:val="auto"/>
                <w:szCs w:val="21"/>
              </w:rPr>
            </w:pPr>
            <w:r>
              <w:rPr>
                <w:rFonts w:ascii="Times New Roman" w:hAnsi="Times New Roman"/>
                <w:color w:val="auto"/>
                <w:szCs w:val="21"/>
              </w:rPr>
              <w:t>正常使用状态下</w:t>
            </w:r>
          </w:p>
          <w:p>
            <w:pPr>
              <w:jc w:val="center"/>
              <w:rPr>
                <w:rFonts w:ascii="Times New Roman" w:hAnsi="Times New Roman"/>
                <w:color w:val="auto"/>
                <w:szCs w:val="21"/>
              </w:rPr>
            </w:pPr>
            <w:r>
              <w:rPr>
                <w:rFonts w:ascii="Times New Roman" w:hAnsi="Times New Roman"/>
                <w:color w:val="auto"/>
                <w:szCs w:val="21"/>
              </w:rPr>
              <w:t>/m</w:t>
            </w:r>
            <w:r>
              <w:rPr>
                <w:rFonts w:ascii="Times New Roman" w:hAnsi="Times New Roman"/>
                <w:color w:val="auto"/>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3" w:hRule="atLeast"/>
          <w:jc w:val="center"/>
        </w:trPr>
        <w:tc>
          <w:tcPr>
            <w:tcW w:w="1951" w:type="dxa"/>
            <w:noWrap w:val="0"/>
            <w:vAlign w:val="center"/>
          </w:tcPr>
          <w:p>
            <w:pPr>
              <w:jc w:val="center"/>
              <w:rPr>
                <w:rFonts w:ascii="Times New Roman" w:hAnsi="Times New Roman"/>
                <w:color w:val="auto"/>
                <w:szCs w:val="21"/>
              </w:rPr>
            </w:pPr>
            <w:r>
              <w:rPr>
                <w:rFonts w:hint="eastAsia" w:ascii="Times New Roman" w:hAnsi="Times New Roman"/>
                <w:i/>
                <w:color w:val="auto"/>
                <w:szCs w:val="21"/>
              </w:rPr>
              <w:t>q</w:t>
            </w:r>
            <w:r>
              <w:rPr>
                <w:rFonts w:ascii="Times New Roman" w:hAnsi="Times New Roman"/>
                <w:color w:val="auto"/>
                <w:szCs w:val="21"/>
                <w:vertAlign w:val="subscript"/>
              </w:rPr>
              <w:t>max</w:t>
            </w:r>
            <w:r>
              <w:rPr>
                <w:rFonts w:hint="eastAsia" w:ascii="Times New Roman" w:hAnsi="Times New Roman"/>
                <w:color w:val="auto"/>
                <w:szCs w:val="21"/>
              </w:rPr>
              <w:t>≤</w:t>
            </w:r>
            <w:r>
              <w:rPr>
                <w:rFonts w:ascii="Times New Roman" w:hAnsi="Times New Roman"/>
                <w:color w:val="auto"/>
                <w:szCs w:val="21"/>
              </w:rPr>
              <w:t>10</w:t>
            </w:r>
          </w:p>
        </w:tc>
        <w:tc>
          <w:tcPr>
            <w:tcW w:w="3119" w:type="dxa"/>
            <w:noWrap w:val="0"/>
            <w:vAlign w:val="center"/>
          </w:tcPr>
          <w:p>
            <w:pPr>
              <w:jc w:val="center"/>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0.1</w:t>
            </w:r>
          </w:p>
        </w:tc>
        <w:tc>
          <w:tcPr>
            <w:tcW w:w="3543" w:type="dxa"/>
            <w:tcBorders>
              <w:top w:val="single" w:color="auto" w:sz="4" w:space="0"/>
              <w:left w:val="single" w:color="auto" w:sz="4" w:space="0"/>
              <w:right w:val="single" w:color="auto" w:sz="4" w:space="0"/>
            </w:tcBorders>
            <w:noWrap w:val="0"/>
            <w:vAlign w:val="center"/>
          </w:tcPr>
          <w:p>
            <w:pPr>
              <w:jc w:val="center"/>
              <w:rPr>
                <w:rFonts w:ascii="Times New Roman" w:hAnsi="Times New Roman"/>
                <w:color w:val="auto"/>
                <w:szCs w:val="21"/>
              </w:rPr>
            </w:pPr>
            <w:r>
              <w:rPr>
                <w:rFonts w:hint="eastAsia" w:ascii="Times New Roman" w:hAnsi="Times New Roman"/>
                <w:color w:val="auto"/>
                <w:szCs w:val="21"/>
              </w:rPr>
              <w:t>≤</w:t>
            </w:r>
            <w:r>
              <w:rPr>
                <w:rFonts w:ascii="Times New Roman" w:hAnsi="Times New Roman"/>
                <w:color w:val="auto"/>
                <w:szCs w:val="21"/>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3" w:hRule="atLeast"/>
          <w:jc w:val="center"/>
        </w:trPr>
        <w:tc>
          <w:tcPr>
            <w:tcW w:w="1951" w:type="dxa"/>
            <w:noWrap w:val="0"/>
            <w:vAlign w:val="center"/>
          </w:tcPr>
          <w:p>
            <w:pPr>
              <w:jc w:val="center"/>
              <w:rPr>
                <w:rFonts w:hint="eastAsia" w:ascii="Times New Roman" w:hAnsi="Times New Roman"/>
                <w:i/>
                <w:color w:val="auto"/>
                <w:szCs w:val="21"/>
              </w:rPr>
            </w:pPr>
            <w:r>
              <w:rPr>
                <w:rFonts w:hint="eastAsia" w:ascii="Times New Roman" w:hAnsi="Times New Roman"/>
                <w:i/>
                <w:color w:val="auto"/>
                <w:szCs w:val="21"/>
              </w:rPr>
              <w:t>q</w:t>
            </w:r>
            <w:r>
              <w:rPr>
                <w:rFonts w:ascii="Times New Roman" w:hAnsi="Times New Roman"/>
                <w:color w:val="auto"/>
                <w:szCs w:val="21"/>
                <w:vertAlign w:val="subscript"/>
              </w:rPr>
              <w:t>max</w:t>
            </w:r>
            <w:r>
              <w:rPr>
                <w:rFonts w:hint="eastAsia" w:ascii="Times New Roman" w:hAnsi="Times New Roman"/>
                <w:color w:val="auto"/>
                <w:szCs w:val="21"/>
              </w:rPr>
              <w:t>≥</w:t>
            </w:r>
            <w:r>
              <w:rPr>
                <w:rFonts w:ascii="Times New Roman" w:hAnsi="Times New Roman"/>
                <w:color w:val="auto"/>
                <w:szCs w:val="21"/>
              </w:rPr>
              <w:t>1</w:t>
            </w:r>
            <w:r>
              <w:rPr>
                <w:rFonts w:hint="eastAsia" w:ascii="Times New Roman" w:hAnsi="Times New Roman"/>
                <w:color w:val="auto"/>
                <w:szCs w:val="21"/>
              </w:rPr>
              <w:t>6</w:t>
            </w:r>
          </w:p>
        </w:tc>
        <w:tc>
          <w:tcPr>
            <w:tcW w:w="3119" w:type="dxa"/>
            <w:noWrap w:val="0"/>
            <w:vAlign w:val="center"/>
          </w:tcPr>
          <w:p>
            <w:pPr>
              <w:jc w:val="center"/>
              <w:rPr>
                <w:rFonts w:ascii="Times New Roman" w:hAnsi="Times New Roman"/>
                <w:color w:val="auto"/>
                <w:szCs w:val="21"/>
              </w:rPr>
            </w:pPr>
            <w:r>
              <w:rPr>
                <w:rFonts w:hint="eastAsia" w:ascii="Times New Roman" w:hAnsi="Times New Roman"/>
                <w:color w:val="auto"/>
                <w:szCs w:val="21"/>
              </w:rPr>
              <w:t>≤1</w:t>
            </w:r>
          </w:p>
        </w:tc>
        <w:tc>
          <w:tcPr>
            <w:tcW w:w="3543" w:type="dxa"/>
            <w:tcBorders>
              <w:top w:val="single" w:color="auto" w:sz="4" w:space="0"/>
              <w:left w:val="single" w:color="auto" w:sz="4" w:space="0"/>
              <w:right w:val="single" w:color="auto" w:sz="4" w:space="0"/>
            </w:tcBorders>
            <w:noWrap w:val="0"/>
            <w:vAlign w:val="center"/>
          </w:tcPr>
          <w:p>
            <w:pPr>
              <w:jc w:val="center"/>
              <w:rPr>
                <w:rFonts w:hint="eastAsia" w:ascii="Times New Roman" w:hAnsi="Times New Roman"/>
                <w:color w:val="auto"/>
                <w:szCs w:val="21"/>
              </w:rPr>
            </w:pPr>
            <w:r>
              <w:rPr>
                <w:rFonts w:hint="eastAsia" w:ascii="Times New Roman" w:hAnsi="Times New Roman"/>
                <w:color w:val="auto"/>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4" w:hRule="atLeast"/>
          <w:jc w:val="center"/>
        </w:trPr>
        <w:tc>
          <w:tcPr>
            <w:tcW w:w="8613" w:type="dxa"/>
            <w:gridSpan w:val="3"/>
            <w:tcBorders>
              <w:right w:val="single" w:color="auto" w:sz="4" w:space="0"/>
            </w:tcBorders>
            <w:noWrap w:val="0"/>
            <w:vAlign w:val="center"/>
          </w:tcPr>
          <w:p>
            <w:pPr>
              <w:jc w:val="left"/>
              <w:rPr>
                <w:rFonts w:hint="eastAsia" w:ascii="宋体"/>
                <w:color w:val="auto"/>
                <w:sz w:val="24"/>
              </w:rPr>
            </w:pPr>
            <w:r>
              <w:rPr>
                <w:rFonts w:hint="eastAsia" w:hAnsi="宋体"/>
                <w:color w:val="auto"/>
                <w:szCs w:val="21"/>
              </w:rPr>
              <w:t>注：检定信号应有满足检定需要的光电脉冲输出。</w:t>
            </w:r>
          </w:p>
        </w:tc>
      </w:tr>
    </w:tbl>
    <w:p>
      <w:pPr>
        <w:spacing w:line="300" w:lineRule="auto"/>
        <w:rPr>
          <w:rFonts w:hint="eastAsia" w:ascii="宋体" w:hAnsi="宋体"/>
          <w:color w:val="auto"/>
          <w:sz w:val="24"/>
        </w:rPr>
      </w:pPr>
      <w:r>
        <w:rPr>
          <w:color w:val="auto"/>
          <w:sz w:val="24"/>
        </w:rPr>
        <w:t>6.</w:t>
      </w:r>
      <w:r>
        <w:rPr>
          <w:rFonts w:hint="eastAsia"/>
          <w:color w:val="auto"/>
          <w:sz w:val="24"/>
        </w:rPr>
        <w:t>4.3</w:t>
      </w:r>
      <w:r>
        <w:rPr>
          <w:rFonts w:hint="eastAsia" w:ascii="宋体" w:hAnsi="宋体"/>
          <w:color w:val="auto"/>
          <w:sz w:val="24"/>
        </w:rPr>
        <w:t>零流量</w:t>
      </w:r>
    </w:p>
    <w:p>
      <w:pPr>
        <w:spacing w:line="300" w:lineRule="auto"/>
        <w:ind w:firstLine="480" w:firstLineChars="200"/>
        <w:rPr>
          <w:rFonts w:hint="eastAsia" w:ascii="宋体" w:hAnsi="宋体"/>
          <w:color w:val="auto"/>
          <w:sz w:val="24"/>
        </w:rPr>
      </w:pPr>
      <w:r>
        <w:rPr>
          <w:rFonts w:hint="eastAsia" w:ascii="宋体" w:hAnsi="宋体"/>
          <w:color w:val="auto"/>
          <w:sz w:val="24"/>
        </w:rPr>
        <w:t>在介质静止状态下燃气表显示及内部存储的累积流量</w:t>
      </w:r>
      <w:r>
        <w:rPr>
          <w:rFonts w:hint="eastAsia" w:hAnsi="宋体"/>
          <w:color w:val="auto"/>
          <w:sz w:val="24"/>
        </w:rPr>
        <w:t>指示值</w:t>
      </w:r>
      <w:r>
        <w:rPr>
          <w:rFonts w:hint="eastAsia" w:ascii="宋体" w:hAnsi="宋体"/>
          <w:color w:val="auto"/>
          <w:sz w:val="24"/>
        </w:rPr>
        <w:t>应不发生变化。</w:t>
      </w:r>
    </w:p>
    <w:p>
      <w:pPr>
        <w:spacing w:line="300" w:lineRule="auto"/>
        <w:rPr>
          <w:rFonts w:hint="eastAsia" w:ascii="宋体" w:hAnsi="宋体"/>
          <w:color w:val="auto"/>
          <w:sz w:val="24"/>
        </w:rPr>
      </w:pPr>
      <w:r>
        <w:rPr>
          <w:color w:val="auto"/>
          <w:sz w:val="24"/>
        </w:rPr>
        <w:t>6.</w:t>
      </w:r>
      <w:r>
        <w:rPr>
          <w:rFonts w:hint="eastAsia"/>
          <w:color w:val="auto"/>
          <w:sz w:val="24"/>
        </w:rPr>
        <w:t>4.4</w:t>
      </w:r>
      <w:r>
        <w:rPr>
          <w:rFonts w:hint="eastAsia" w:ascii="宋体" w:hAnsi="宋体"/>
          <w:color w:val="auto"/>
          <w:sz w:val="24"/>
        </w:rPr>
        <w:t>防逆功能</w:t>
      </w:r>
    </w:p>
    <w:p>
      <w:pPr>
        <w:tabs>
          <w:tab w:val="left" w:pos="567"/>
        </w:tabs>
        <w:spacing w:line="312" w:lineRule="auto"/>
        <w:ind w:firstLine="480" w:firstLineChars="200"/>
        <w:rPr>
          <w:rFonts w:hint="eastAsia" w:hAnsi="宋体"/>
          <w:color w:val="auto"/>
          <w:szCs w:val="21"/>
        </w:rPr>
      </w:pPr>
      <w:r>
        <w:rPr>
          <w:rFonts w:hAnsi="Arial,Bold"/>
          <w:color w:val="auto"/>
          <w:sz w:val="24"/>
        </w:rPr>
        <w:t>如果燃气表的设计是单方向使用</w:t>
      </w:r>
      <w:r>
        <w:rPr>
          <w:rFonts w:hint="eastAsia" w:hAnsi="宋体"/>
          <w:color w:val="auto"/>
          <w:sz w:val="24"/>
        </w:rPr>
        <w:t>，当气体流入方向与规定流向相反时，</w:t>
      </w:r>
      <w:r>
        <w:rPr>
          <w:rFonts w:hint="eastAsia" w:ascii="宋体" w:hAnsi="宋体"/>
          <w:color w:val="auto"/>
          <w:sz w:val="24"/>
        </w:rPr>
        <w:t>累积流量</w:t>
      </w:r>
      <w:r>
        <w:rPr>
          <w:rFonts w:hint="eastAsia" w:hAnsi="宋体"/>
          <w:color w:val="auto"/>
          <w:sz w:val="24"/>
        </w:rPr>
        <w:t>指示值</w:t>
      </w:r>
      <w:r>
        <w:rPr>
          <w:rFonts w:hint="eastAsia" w:ascii="宋体" w:hAnsi="宋体"/>
          <w:color w:val="auto"/>
          <w:sz w:val="24"/>
        </w:rPr>
        <w:t>不发生变化，带</w:t>
      </w:r>
      <w:r>
        <w:rPr>
          <w:rFonts w:hint="eastAsia" w:hAnsi="宋体"/>
          <w:color w:val="auto"/>
          <w:sz w:val="24"/>
        </w:rPr>
        <w:t>控制阀门的燃气表应能自动关闭控制阀门。</w:t>
      </w:r>
    </w:p>
    <w:p>
      <w:pPr>
        <w:pStyle w:val="4"/>
        <w:keepLines w:val="0"/>
        <w:widowControl/>
        <w:spacing w:before="0" w:after="0" w:line="312" w:lineRule="auto"/>
        <w:jc w:val="left"/>
        <w:rPr>
          <w:b w:val="0"/>
          <w:color w:val="auto"/>
          <w:sz w:val="24"/>
          <w:szCs w:val="24"/>
        </w:rPr>
      </w:pPr>
      <w:bookmarkStart w:id="168" w:name="_Toc295726474"/>
      <w:bookmarkStart w:id="169" w:name="_Toc301019272"/>
      <w:bookmarkStart w:id="170" w:name="_Toc301019310"/>
      <w:bookmarkStart w:id="171" w:name="_Toc301019378"/>
      <w:bookmarkStart w:id="172" w:name="_Toc327459474"/>
      <w:bookmarkStart w:id="173" w:name="_Toc468349713"/>
      <w:bookmarkStart w:id="174" w:name="_Toc295726482"/>
      <w:bookmarkStart w:id="175" w:name="_Toc301019280"/>
      <w:bookmarkStart w:id="176" w:name="_Toc301019318"/>
      <w:bookmarkStart w:id="177" w:name="_Toc301019386"/>
      <w:r>
        <w:rPr>
          <w:rFonts w:hint="eastAsia" w:hAnsi="宋体"/>
          <w:b w:val="0"/>
          <w:color w:val="auto"/>
          <w:sz w:val="24"/>
          <w:szCs w:val="24"/>
        </w:rPr>
        <w:t>6.5</w:t>
      </w:r>
      <w:r>
        <w:rPr>
          <w:rFonts w:hAnsi="宋体"/>
          <w:b w:val="0"/>
          <w:color w:val="auto"/>
          <w:sz w:val="24"/>
          <w:szCs w:val="24"/>
        </w:rPr>
        <w:t>密封性</w:t>
      </w:r>
      <w:bookmarkEnd w:id="168"/>
      <w:bookmarkEnd w:id="169"/>
      <w:bookmarkEnd w:id="170"/>
      <w:bookmarkEnd w:id="171"/>
      <w:bookmarkEnd w:id="172"/>
      <w:bookmarkEnd w:id="173"/>
    </w:p>
    <w:p>
      <w:pPr>
        <w:spacing w:line="312" w:lineRule="auto"/>
        <w:ind w:firstLine="566" w:firstLineChars="236"/>
        <w:rPr>
          <w:rFonts w:hint="eastAsia" w:hAnsi="宋体"/>
          <w:color w:val="auto"/>
          <w:sz w:val="24"/>
        </w:rPr>
      </w:pPr>
      <w:r>
        <w:rPr>
          <w:rFonts w:hAnsi="宋体"/>
          <w:color w:val="auto"/>
          <w:sz w:val="24"/>
        </w:rPr>
        <w:t>燃气表</w:t>
      </w:r>
      <w:r>
        <w:rPr>
          <w:rFonts w:hint="eastAsia" w:hAnsi="宋体"/>
          <w:color w:val="auto"/>
          <w:sz w:val="24"/>
        </w:rPr>
        <w:t>应在</w:t>
      </w:r>
      <w:r>
        <w:rPr>
          <w:color w:val="auto"/>
          <w:sz w:val="24"/>
        </w:rPr>
        <w:t>1.5</w:t>
      </w:r>
      <w:r>
        <w:rPr>
          <w:rFonts w:hAnsi="宋体"/>
          <w:color w:val="auto"/>
          <w:sz w:val="24"/>
        </w:rPr>
        <w:t>倍最大工作压力</w:t>
      </w:r>
      <w:r>
        <w:rPr>
          <w:rFonts w:hint="eastAsia" w:hAnsi="宋体"/>
          <w:color w:val="auto"/>
          <w:sz w:val="24"/>
        </w:rPr>
        <w:t>下无漏气</w:t>
      </w:r>
      <w:r>
        <w:rPr>
          <w:rFonts w:hAnsi="宋体"/>
          <w:color w:val="auto"/>
          <w:sz w:val="24"/>
        </w:rPr>
        <w:t>。</w:t>
      </w:r>
    </w:p>
    <w:p>
      <w:pPr>
        <w:pStyle w:val="4"/>
        <w:keepLines w:val="0"/>
        <w:widowControl/>
        <w:spacing w:before="0" w:after="0" w:line="312" w:lineRule="auto"/>
        <w:jc w:val="left"/>
        <w:rPr>
          <w:rFonts w:hint="eastAsia" w:hAnsi="宋体"/>
          <w:b w:val="0"/>
          <w:color w:val="auto"/>
          <w:sz w:val="24"/>
          <w:szCs w:val="24"/>
        </w:rPr>
      </w:pPr>
      <w:bookmarkStart w:id="178" w:name="_Toc468349714"/>
      <w:r>
        <w:rPr>
          <w:rFonts w:hint="eastAsia" w:hAnsi="宋体"/>
          <w:b w:val="0"/>
          <w:color w:val="auto"/>
          <w:sz w:val="24"/>
          <w:szCs w:val="24"/>
        </w:rPr>
        <w:t>6.6 压力损失</w:t>
      </w:r>
      <w:bookmarkEnd w:id="178"/>
    </w:p>
    <w:p>
      <w:pPr>
        <w:spacing w:line="312" w:lineRule="auto"/>
        <w:ind w:firstLine="480"/>
        <w:rPr>
          <w:rFonts w:hint="eastAsia" w:hAnsi="宋体"/>
          <w:bCs/>
          <w:color w:val="auto"/>
          <w:sz w:val="24"/>
        </w:rPr>
      </w:pPr>
      <w:r>
        <w:rPr>
          <w:rFonts w:hAnsi="宋体"/>
          <w:color w:val="auto"/>
          <w:sz w:val="24"/>
        </w:rPr>
        <w:t>燃气表压力损失最大允许值不得超过表</w:t>
      </w:r>
      <w:r>
        <w:rPr>
          <w:rFonts w:hint="eastAsia"/>
          <w:color w:val="auto"/>
          <w:sz w:val="24"/>
        </w:rPr>
        <w:t>4</w:t>
      </w:r>
      <w:r>
        <w:rPr>
          <w:rFonts w:hAnsi="宋体"/>
          <w:color w:val="auto"/>
          <w:sz w:val="24"/>
        </w:rPr>
        <w:t>的规定。</w:t>
      </w:r>
    </w:p>
    <w:p>
      <w:pPr>
        <w:widowControl/>
        <w:jc w:val="center"/>
        <w:rPr>
          <w:color w:val="auto"/>
          <w:sz w:val="24"/>
        </w:rPr>
      </w:pPr>
      <w:r>
        <w:rPr>
          <w:rFonts w:hint="eastAsia" w:hAnsi="宋体"/>
          <w:bCs/>
          <w:color w:val="auto"/>
          <w:sz w:val="24"/>
        </w:rPr>
        <w:t xml:space="preserve">表4 </w:t>
      </w:r>
      <w:r>
        <w:rPr>
          <w:rFonts w:hAnsi="宋体"/>
          <w:bCs/>
          <w:color w:val="auto"/>
          <w:sz w:val="24"/>
        </w:rPr>
        <w:t>压力损失最大允许值</w:t>
      </w:r>
    </w:p>
    <w:tbl>
      <w:tblPr>
        <w:tblStyle w:val="18"/>
        <w:tblW w:w="72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2818"/>
        <w:gridCol w:w="2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2" w:hRule="atLeast"/>
          <w:jc w:val="center"/>
        </w:trPr>
        <w:tc>
          <w:tcPr>
            <w:tcW w:w="1596" w:type="dxa"/>
            <w:vMerge w:val="restart"/>
            <w:noWrap w:val="0"/>
            <w:vAlign w:val="center"/>
          </w:tcPr>
          <w:p>
            <w:pPr>
              <w:jc w:val="center"/>
              <w:rPr>
                <w:rFonts w:hint="eastAsia" w:hAnsi="宋体"/>
                <w:color w:val="auto"/>
              </w:rPr>
            </w:pPr>
            <w:r>
              <w:rPr>
                <w:rFonts w:hint="eastAsia" w:hAnsi="宋体"/>
                <w:color w:val="auto"/>
              </w:rPr>
              <w:t>最大流量</w:t>
            </w:r>
            <w:r>
              <w:rPr>
                <w:rFonts w:hint="eastAsia" w:hAnsi="宋体"/>
                <w:i/>
                <w:color w:val="auto"/>
              </w:rPr>
              <w:t>q</w:t>
            </w:r>
            <w:r>
              <w:rPr>
                <w:rFonts w:hint="eastAsia" w:hAnsi="宋体"/>
                <w:color w:val="auto"/>
                <w:vertAlign w:val="subscript"/>
              </w:rPr>
              <w:t>max</w:t>
            </w:r>
          </w:p>
          <w:p>
            <w:pPr>
              <w:jc w:val="center"/>
              <w:rPr>
                <w:rFonts w:hint="eastAsia" w:hAnsi="宋体"/>
                <w:color w:val="auto"/>
              </w:rPr>
            </w:pPr>
            <w:r>
              <w:rPr>
                <w:rFonts w:hAnsi="宋体"/>
                <w:color w:val="auto"/>
              </w:rPr>
              <w:t>m</w:t>
            </w:r>
            <w:r>
              <w:rPr>
                <w:rFonts w:hAnsi="宋体"/>
                <w:color w:val="auto"/>
                <w:vertAlign w:val="superscript"/>
              </w:rPr>
              <w:t>3</w:t>
            </w:r>
            <w:r>
              <w:rPr>
                <w:rFonts w:hAnsi="宋体"/>
                <w:color w:val="auto"/>
              </w:rPr>
              <w:t>/h</w:t>
            </w:r>
          </w:p>
        </w:tc>
        <w:tc>
          <w:tcPr>
            <w:tcW w:w="5637" w:type="dxa"/>
            <w:gridSpan w:val="2"/>
            <w:noWrap w:val="0"/>
            <w:vAlign w:val="center"/>
          </w:tcPr>
          <w:p>
            <w:pPr>
              <w:jc w:val="center"/>
              <w:rPr>
                <w:rFonts w:hint="eastAsia" w:hAnsi="宋体"/>
                <w:color w:val="auto"/>
              </w:rPr>
            </w:pPr>
            <w:r>
              <w:rPr>
                <w:rFonts w:hint="eastAsia" w:hAnsi="宋体"/>
                <w:color w:val="auto"/>
              </w:rPr>
              <w:t>压力损失最大允许值</w:t>
            </w:r>
          </w:p>
          <w:p>
            <w:pPr>
              <w:jc w:val="center"/>
              <w:rPr>
                <w:rFonts w:hint="eastAsia" w:hAnsi="宋体"/>
                <w:color w:val="auto"/>
              </w:rPr>
            </w:pPr>
            <w:r>
              <w:rPr>
                <w:rFonts w:hAnsi="宋体"/>
                <w:color w:val="auto"/>
              </w:rPr>
              <w:t>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6" w:type="dxa"/>
            <w:vMerge w:val="continue"/>
            <w:noWrap w:val="0"/>
            <w:vAlign w:val="center"/>
          </w:tcPr>
          <w:p>
            <w:pPr>
              <w:spacing w:line="360" w:lineRule="auto"/>
              <w:jc w:val="center"/>
              <w:rPr>
                <w:rFonts w:hint="eastAsia" w:hAnsi="宋体"/>
                <w:color w:val="auto"/>
              </w:rPr>
            </w:pPr>
          </w:p>
        </w:tc>
        <w:tc>
          <w:tcPr>
            <w:tcW w:w="2818" w:type="dxa"/>
            <w:noWrap w:val="0"/>
            <w:vAlign w:val="center"/>
          </w:tcPr>
          <w:p>
            <w:pPr>
              <w:spacing w:line="360" w:lineRule="auto"/>
              <w:jc w:val="center"/>
              <w:rPr>
                <w:rFonts w:hint="eastAsia" w:hAnsi="宋体"/>
                <w:color w:val="auto"/>
              </w:rPr>
            </w:pPr>
            <w:r>
              <w:rPr>
                <w:rFonts w:ascii="Times New Roman"/>
                <w:color w:val="auto"/>
                <w:szCs w:val="21"/>
              </w:rPr>
              <w:t>不带控制阀</w:t>
            </w:r>
          </w:p>
        </w:tc>
        <w:tc>
          <w:tcPr>
            <w:tcW w:w="2819" w:type="dxa"/>
            <w:noWrap w:val="0"/>
            <w:vAlign w:val="center"/>
          </w:tcPr>
          <w:p>
            <w:pPr>
              <w:spacing w:line="360" w:lineRule="auto"/>
              <w:jc w:val="center"/>
              <w:rPr>
                <w:rFonts w:hint="eastAsia" w:hAnsi="宋体"/>
                <w:color w:val="auto"/>
              </w:rPr>
            </w:pPr>
            <w:r>
              <w:rPr>
                <w:rFonts w:hint="eastAsia" w:hAnsi="宋体"/>
                <w:color w:val="auto"/>
              </w:rPr>
              <w:t>带控制阀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6" w:type="dxa"/>
            <w:noWrap w:val="0"/>
            <w:vAlign w:val="center"/>
          </w:tcPr>
          <w:p>
            <w:pPr>
              <w:spacing w:line="360" w:lineRule="auto"/>
              <w:jc w:val="center"/>
              <w:rPr>
                <w:rFonts w:hAnsi="宋体"/>
                <w:color w:val="auto"/>
              </w:rPr>
            </w:pPr>
            <w:r>
              <w:rPr>
                <w:rFonts w:hint="eastAsia" w:hAnsi="宋体"/>
                <w:i/>
                <w:color w:val="auto"/>
              </w:rPr>
              <w:t>q</w:t>
            </w:r>
            <w:r>
              <w:rPr>
                <w:rFonts w:hint="eastAsia" w:hAnsi="宋体"/>
                <w:color w:val="auto"/>
                <w:vertAlign w:val="subscript"/>
              </w:rPr>
              <w:t>max</w:t>
            </w:r>
            <w:r>
              <w:rPr>
                <w:rFonts w:hAnsi="宋体"/>
                <w:color w:val="auto"/>
              </w:rPr>
              <w:t>≤10</w:t>
            </w:r>
          </w:p>
        </w:tc>
        <w:tc>
          <w:tcPr>
            <w:tcW w:w="2818" w:type="dxa"/>
            <w:noWrap w:val="0"/>
            <w:vAlign w:val="center"/>
          </w:tcPr>
          <w:p>
            <w:pPr>
              <w:spacing w:line="360" w:lineRule="auto"/>
              <w:jc w:val="center"/>
              <w:rPr>
                <w:rFonts w:hint="eastAsia" w:hAnsi="宋体"/>
                <w:color w:val="auto"/>
              </w:rPr>
            </w:pPr>
            <w:r>
              <w:rPr>
                <w:rFonts w:hint="eastAsia" w:hAnsi="宋体"/>
                <w:color w:val="auto"/>
              </w:rPr>
              <w:t>200</w:t>
            </w:r>
          </w:p>
        </w:tc>
        <w:tc>
          <w:tcPr>
            <w:tcW w:w="2819" w:type="dxa"/>
            <w:noWrap w:val="0"/>
            <w:vAlign w:val="center"/>
          </w:tcPr>
          <w:p>
            <w:pPr>
              <w:spacing w:line="360" w:lineRule="auto"/>
              <w:jc w:val="center"/>
              <w:rPr>
                <w:rFonts w:hint="eastAsia" w:hAnsi="宋体"/>
                <w:color w:val="auto"/>
              </w:rPr>
            </w:pPr>
            <w:r>
              <w:rPr>
                <w:rFonts w:hint="eastAsia" w:hAnsi="宋体"/>
                <w:color w:val="auto"/>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6" w:type="dxa"/>
            <w:noWrap w:val="0"/>
            <w:vAlign w:val="center"/>
          </w:tcPr>
          <w:p>
            <w:pPr>
              <w:spacing w:line="360" w:lineRule="auto"/>
              <w:jc w:val="center"/>
              <w:rPr>
                <w:rFonts w:hAnsi="宋体"/>
                <w:color w:val="auto"/>
              </w:rPr>
            </w:pPr>
            <w:r>
              <w:rPr>
                <w:rFonts w:hAnsi="宋体"/>
                <w:color w:val="auto"/>
              </w:rPr>
              <w:t>16≤</w:t>
            </w:r>
            <w:r>
              <w:rPr>
                <w:rFonts w:hint="eastAsia" w:hAnsi="宋体"/>
                <w:i/>
                <w:color w:val="auto"/>
              </w:rPr>
              <w:t>q</w:t>
            </w:r>
            <w:r>
              <w:rPr>
                <w:rFonts w:hint="eastAsia" w:hAnsi="宋体"/>
                <w:color w:val="auto"/>
                <w:vertAlign w:val="subscript"/>
              </w:rPr>
              <w:t>max</w:t>
            </w:r>
            <w:r>
              <w:rPr>
                <w:rFonts w:hAnsi="宋体"/>
                <w:color w:val="auto"/>
              </w:rPr>
              <w:t>≤65</w:t>
            </w:r>
          </w:p>
        </w:tc>
        <w:tc>
          <w:tcPr>
            <w:tcW w:w="2818" w:type="dxa"/>
            <w:noWrap w:val="0"/>
            <w:vAlign w:val="center"/>
          </w:tcPr>
          <w:p>
            <w:pPr>
              <w:spacing w:line="360" w:lineRule="auto"/>
              <w:jc w:val="center"/>
              <w:rPr>
                <w:rFonts w:hint="eastAsia" w:hAnsi="宋体"/>
                <w:color w:val="auto"/>
              </w:rPr>
            </w:pPr>
            <w:r>
              <w:rPr>
                <w:rFonts w:hint="eastAsia" w:hAnsi="宋体"/>
                <w:color w:val="auto"/>
              </w:rPr>
              <w:t>300</w:t>
            </w:r>
          </w:p>
        </w:tc>
        <w:tc>
          <w:tcPr>
            <w:tcW w:w="2819" w:type="dxa"/>
            <w:noWrap w:val="0"/>
            <w:vAlign w:val="center"/>
          </w:tcPr>
          <w:p>
            <w:pPr>
              <w:spacing w:line="360" w:lineRule="auto"/>
              <w:jc w:val="center"/>
              <w:rPr>
                <w:rFonts w:hint="eastAsia" w:hAnsi="宋体"/>
                <w:color w:val="auto"/>
              </w:rPr>
            </w:pPr>
            <w:r>
              <w:rPr>
                <w:rFonts w:hint="eastAsia" w:hAnsi="宋体"/>
                <w:color w:val="auto"/>
              </w:rPr>
              <w:t>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96" w:type="dxa"/>
            <w:noWrap w:val="0"/>
            <w:vAlign w:val="center"/>
          </w:tcPr>
          <w:p>
            <w:pPr>
              <w:spacing w:line="360" w:lineRule="auto"/>
              <w:jc w:val="center"/>
              <w:rPr>
                <w:rFonts w:hAnsi="宋体"/>
                <w:color w:val="auto"/>
              </w:rPr>
            </w:pPr>
            <w:r>
              <w:rPr>
                <w:rFonts w:hint="eastAsia" w:hAnsi="宋体"/>
                <w:i/>
                <w:color w:val="auto"/>
              </w:rPr>
              <w:t>q</w:t>
            </w:r>
            <w:r>
              <w:rPr>
                <w:rFonts w:hint="eastAsia" w:hAnsi="宋体"/>
                <w:color w:val="auto"/>
                <w:vertAlign w:val="subscript"/>
              </w:rPr>
              <w:t>max</w:t>
            </w:r>
            <w:r>
              <w:rPr>
                <w:rFonts w:hint="eastAsia" w:hAnsi="宋体"/>
                <w:color w:val="auto"/>
              </w:rPr>
              <w:t>=</w:t>
            </w:r>
            <w:r>
              <w:rPr>
                <w:rFonts w:hAnsi="宋体"/>
                <w:color w:val="auto"/>
              </w:rPr>
              <w:t>100</w:t>
            </w:r>
          </w:p>
        </w:tc>
        <w:tc>
          <w:tcPr>
            <w:tcW w:w="2818" w:type="dxa"/>
            <w:noWrap w:val="0"/>
            <w:vAlign w:val="center"/>
          </w:tcPr>
          <w:p>
            <w:pPr>
              <w:spacing w:line="360" w:lineRule="auto"/>
              <w:jc w:val="center"/>
              <w:rPr>
                <w:rFonts w:hint="eastAsia" w:hAnsi="宋体"/>
                <w:color w:val="auto"/>
              </w:rPr>
            </w:pPr>
            <w:r>
              <w:rPr>
                <w:rFonts w:hint="eastAsia" w:hAnsi="宋体"/>
                <w:color w:val="auto"/>
              </w:rPr>
              <w:t>400</w:t>
            </w:r>
          </w:p>
        </w:tc>
        <w:tc>
          <w:tcPr>
            <w:tcW w:w="2819" w:type="dxa"/>
            <w:noWrap w:val="0"/>
            <w:vAlign w:val="center"/>
          </w:tcPr>
          <w:p>
            <w:pPr>
              <w:spacing w:line="360" w:lineRule="auto"/>
              <w:jc w:val="center"/>
              <w:rPr>
                <w:rFonts w:hint="eastAsia" w:hAnsi="宋体"/>
                <w:color w:val="auto"/>
              </w:rPr>
            </w:pPr>
            <w:r>
              <w:rPr>
                <w:rFonts w:hint="eastAsia" w:hAnsi="宋体"/>
                <w:color w:val="auto"/>
              </w:rPr>
              <w:t>500</w:t>
            </w:r>
          </w:p>
        </w:tc>
      </w:tr>
    </w:tbl>
    <w:p>
      <w:pPr>
        <w:pStyle w:val="4"/>
        <w:keepLines w:val="0"/>
        <w:widowControl/>
        <w:spacing w:before="0" w:after="0" w:line="324" w:lineRule="auto"/>
        <w:jc w:val="left"/>
        <w:rPr>
          <w:rFonts w:hint="eastAsia" w:hAnsi="宋体"/>
          <w:b w:val="0"/>
          <w:color w:val="auto"/>
          <w:sz w:val="24"/>
          <w:szCs w:val="24"/>
        </w:rPr>
      </w:pPr>
      <w:bookmarkStart w:id="179" w:name="_Toc468349715"/>
      <w:r>
        <w:rPr>
          <w:rFonts w:hint="eastAsia" w:hAnsi="宋体"/>
          <w:b w:val="0"/>
          <w:color w:val="auto"/>
          <w:sz w:val="24"/>
          <w:szCs w:val="24"/>
        </w:rPr>
        <w:t>6.7 提示功能</w:t>
      </w:r>
    </w:p>
    <w:p>
      <w:pPr>
        <w:spacing w:line="324" w:lineRule="auto"/>
        <w:rPr>
          <w:rFonts w:hint="eastAsia" w:hAnsi="宋体"/>
          <w:color w:val="auto"/>
          <w:sz w:val="24"/>
        </w:rPr>
      </w:pPr>
      <w:r>
        <w:rPr>
          <w:rFonts w:hint="eastAsia" w:hAnsi="宋体"/>
          <w:color w:val="auto"/>
          <w:sz w:val="24"/>
        </w:rPr>
        <w:t>6.7.1 工作电源欠压</w:t>
      </w:r>
    </w:p>
    <w:p>
      <w:pPr>
        <w:spacing w:line="324" w:lineRule="auto"/>
        <w:ind w:firstLine="480"/>
        <w:rPr>
          <w:rFonts w:hint="eastAsia" w:hAnsi="宋体"/>
          <w:color w:val="auto"/>
          <w:sz w:val="24"/>
        </w:rPr>
      </w:pPr>
      <w:r>
        <w:rPr>
          <w:rFonts w:hint="eastAsia" w:hAnsi="宋体"/>
          <w:color w:val="auto"/>
          <w:sz w:val="24"/>
        </w:rPr>
        <w:t>当燃气表工作电源欠压时，应有明确的文字符号、声光报警、关闭控制阀等一种或几种方式提示。</w:t>
      </w:r>
    </w:p>
    <w:p>
      <w:pPr>
        <w:spacing w:line="324" w:lineRule="auto"/>
        <w:rPr>
          <w:rFonts w:hint="eastAsia" w:hAnsi="宋体"/>
          <w:color w:val="auto"/>
          <w:sz w:val="24"/>
        </w:rPr>
      </w:pPr>
      <w:r>
        <w:rPr>
          <w:rFonts w:hint="eastAsia" w:hAnsi="宋体"/>
          <w:color w:val="auto"/>
          <w:sz w:val="24"/>
        </w:rPr>
        <w:t>6.7.2 误操作</w:t>
      </w:r>
    </w:p>
    <w:p>
      <w:pPr>
        <w:spacing w:line="324" w:lineRule="auto"/>
        <w:rPr>
          <w:rFonts w:hint="eastAsia" w:hAnsi="宋体"/>
          <w:color w:val="auto"/>
          <w:sz w:val="24"/>
        </w:rPr>
      </w:pPr>
      <w:r>
        <w:rPr>
          <w:rFonts w:hint="eastAsia" w:hAnsi="宋体"/>
          <w:color w:val="auto"/>
          <w:sz w:val="24"/>
        </w:rPr>
        <w:t xml:space="preserve">    当燃气表遇到错误操作时，应予以文字符号、声光报警等一种或几种方式提示，关闭控制阀或维持原工作状态。</w:t>
      </w:r>
    </w:p>
    <w:p>
      <w:pPr>
        <w:pStyle w:val="4"/>
        <w:keepLines w:val="0"/>
        <w:widowControl/>
        <w:spacing w:before="0" w:after="0" w:line="324" w:lineRule="auto"/>
        <w:jc w:val="left"/>
        <w:rPr>
          <w:rFonts w:hint="eastAsia" w:hAnsi="宋体"/>
          <w:b w:val="0"/>
          <w:color w:val="auto"/>
          <w:sz w:val="24"/>
          <w:szCs w:val="24"/>
        </w:rPr>
      </w:pPr>
      <w:r>
        <w:rPr>
          <w:rFonts w:hint="eastAsia" w:hAnsi="宋体"/>
          <w:b w:val="0"/>
          <w:color w:val="auto"/>
          <w:sz w:val="24"/>
          <w:szCs w:val="24"/>
        </w:rPr>
        <w:t>6.8附加功能</w:t>
      </w:r>
      <w:bookmarkEnd w:id="179"/>
    </w:p>
    <w:p>
      <w:pPr>
        <w:spacing w:line="324" w:lineRule="auto"/>
        <w:ind w:firstLine="480"/>
        <w:rPr>
          <w:rFonts w:hint="eastAsia"/>
          <w:color w:val="auto"/>
          <w:sz w:val="24"/>
        </w:rPr>
      </w:pPr>
      <w:r>
        <w:rPr>
          <w:rFonts w:hint="eastAsia"/>
          <w:color w:val="auto"/>
          <w:sz w:val="24"/>
        </w:rPr>
        <w:t>燃气表的附加功能应符合附录A的要求。</w:t>
      </w:r>
    </w:p>
    <w:bookmarkEnd w:id="174"/>
    <w:bookmarkEnd w:id="175"/>
    <w:bookmarkEnd w:id="176"/>
    <w:bookmarkEnd w:id="177"/>
    <w:p>
      <w:pPr>
        <w:pStyle w:val="3"/>
        <w:keepLines w:val="0"/>
        <w:widowControl/>
        <w:spacing w:before="0" w:after="0" w:line="324" w:lineRule="auto"/>
        <w:jc w:val="left"/>
        <w:rPr>
          <w:rFonts w:ascii="Times New Roman" w:hAnsi="Times New Roman" w:eastAsia="宋体"/>
          <w:color w:val="auto"/>
          <w:sz w:val="24"/>
          <w:szCs w:val="24"/>
        </w:rPr>
      </w:pPr>
      <w:bookmarkStart w:id="180" w:name="_安全性能"/>
      <w:bookmarkEnd w:id="180"/>
      <w:bookmarkStart w:id="181" w:name="_Toc301019282"/>
      <w:bookmarkStart w:id="182" w:name="_Toc295726484"/>
      <w:bookmarkStart w:id="183" w:name="_Toc301019320"/>
      <w:bookmarkStart w:id="184" w:name="_Toc301019388"/>
      <w:bookmarkStart w:id="185" w:name="_Toc327459478"/>
      <w:bookmarkStart w:id="186" w:name="_Toc468349716"/>
      <w:r>
        <w:rPr>
          <w:rFonts w:ascii="Times New Roman" w:hAnsi="Times New Roman" w:eastAsia="宋体"/>
          <w:color w:val="auto"/>
          <w:sz w:val="24"/>
          <w:szCs w:val="24"/>
        </w:rPr>
        <w:t xml:space="preserve">7 </w:t>
      </w:r>
      <w:r>
        <w:rPr>
          <w:rFonts w:ascii="Times New Roman" w:hAnsi="宋体" w:eastAsia="宋体"/>
          <w:color w:val="auto"/>
          <w:sz w:val="24"/>
          <w:szCs w:val="24"/>
        </w:rPr>
        <w:t>计量器具控制</w:t>
      </w:r>
      <w:bookmarkEnd w:id="181"/>
      <w:bookmarkEnd w:id="182"/>
      <w:bookmarkEnd w:id="183"/>
      <w:bookmarkEnd w:id="184"/>
      <w:bookmarkEnd w:id="185"/>
      <w:bookmarkEnd w:id="186"/>
    </w:p>
    <w:p>
      <w:pPr>
        <w:tabs>
          <w:tab w:val="left" w:pos="851"/>
        </w:tabs>
        <w:spacing w:line="324" w:lineRule="auto"/>
        <w:ind w:firstLine="424" w:firstLineChars="177"/>
        <w:rPr>
          <w:color w:val="auto"/>
          <w:sz w:val="24"/>
        </w:rPr>
      </w:pPr>
      <w:r>
        <w:rPr>
          <w:rFonts w:hAnsi="宋体"/>
          <w:color w:val="auto"/>
          <w:sz w:val="24"/>
        </w:rPr>
        <w:t>计量器具控制包括燃气表的首次检定</w:t>
      </w:r>
      <w:r>
        <w:rPr>
          <w:rFonts w:hint="eastAsia" w:hAnsi="宋体"/>
          <w:color w:val="auto"/>
          <w:sz w:val="24"/>
        </w:rPr>
        <w:t>、后续检定</w:t>
      </w:r>
      <w:r>
        <w:rPr>
          <w:rFonts w:hAnsi="宋体"/>
          <w:color w:val="auto"/>
          <w:sz w:val="24"/>
        </w:rPr>
        <w:t>和使用中检</w:t>
      </w:r>
      <w:r>
        <w:rPr>
          <w:rFonts w:hint="eastAsia" w:hAnsi="宋体"/>
          <w:color w:val="auto"/>
          <w:sz w:val="24"/>
        </w:rPr>
        <w:t>查</w:t>
      </w:r>
      <w:r>
        <w:rPr>
          <w:rFonts w:hAnsi="宋体"/>
          <w:color w:val="auto"/>
          <w:sz w:val="24"/>
        </w:rPr>
        <w:t>。</w:t>
      </w:r>
    </w:p>
    <w:p>
      <w:pPr>
        <w:pStyle w:val="4"/>
        <w:keepLines w:val="0"/>
        <w:widowControl/>
        <w:numPr>
          <w:ilvl w:val="0"/>
          <w:numId w:val="3"/>
        </w:numPr>
        <w:spacing w:before="0" w:after="0" w:line="324" w:lineRule="auto"/>
        <w:jc w:val="left"/>
        <w:rPr>
          <w:rFonts w:hint="eastAsia" w:hAnsi="宋体"/>
          <w:b w:val="0"/>
          <w:color w:val="auto"/>
          <w:sz w:val="24"/>
          <w:szCs w:val="24"/>
        </w:rPr>
      </w:pPr>
      <w:bookmarkStart w:id="187" w:name="_Toc295726485"/>
      <w:bookmarkStart w:id="188" w:name="_Toc301019283"/>
      <w:bookmarkStart w:id="189" w:name="_Toc301019321"/>
      <w:bookmarkStart w:id="190" w:name="_Toc301019389"/>
      <w:bookmarkStart w:id="191" w:name="_Toc327459479"/>
      <w:bookmarkStart w:id="192" w:name="_Toc468349717"/>
      <w:r>
        <w:rPr>
          <w:rFonts w:hAnsi="宋体"/>
          <w:b w:val="0"/>
          <w:color w:val="auto"/>
          <w:sz w:val="24"/>
          <w:szCs w:val="24"/>
        </w:rPr>
        <w:t>检定条件</w:t>
      </w:r>
      <w:bookmarkEnd w:id="187"/>
      <w:bookmarkEnd w:id="188"/>
      <w:bookmarkEnd w:id="189"/>
      <w:bookmarkEnd w:id="190"/>
      <w:bookmarkEnd w:id="191"/>
      <w:bookmarkEnd w:id="192"/>
    </w:p>
    <w:p>
      <w:pPr>
        <w:widowControl/>
        <w:numPr>
          <w:ilvl w:val="0"/>
          <w:numId w:val="7"/>
        </w:numPr>
        <w:spacing w:line="324" w:lineRule="auto"/>
        <w:jc w:val="left"/>
        <w:rPr>
          <w:rFonts w:hint="eastAsia"/>
          <w:color w:val="auto"/>
          <w:sz w:val="24"/>
        </w:rPr>
      </w:pPr>
      <w:r>
        <w:rPr>
          <w:rFonts w:hAnsi="宋体"/>
          <w:color w:val="auto"/>
          <w:sz w:val="24"/>
        </w:rPr>
        <w:t>标准装置</w:t>
      </w:r>
    </w:p>
    <w:p>
      <w:pPr>
        <w:widowControl/>
        <w:spacing w:line="324" w:lineRule="auto"/>
        <w:ind w:firstLine="480" w:firstLineChars="200"/>
        <w:jc w:val="left"/>
        <w:rPr>
          <w:color w:val="auto"/>
          <w:sz w:val="24"/>
        </w:rPr>
      </w:pPr>
      <w:r>
        <w:rPr>
          <w:rFonts w:hint="eastAsia" w:ascii="宋体"/>
          <w:color w:val="auto"/>
          <w:sz w:val="24"/>
        </w:rPr>
        <w:t>标准装置，如钟罩式气体流量标准装置、</w:t>
      </w:r>
      <w:r>
        <w:rPr>
          <w:rFonts w:hAnsi="宋体"/>
          <w:color w:val="auto"/>
          <w:sz w:val="24"/>
        </w:rPr>
        <w:t>标准表法流量标准装置</w:t>
      </w:r>
      <w:r>
        <w:rPr>
          <w:rFonts w:hint="eastAsia" w:hAnsi="宋体"/>
          <w:color w:val="auto"/>
          <w:sz w:val="24"/>
        </w:rPr>
        <w:t>等，其</w:t>
      </w:r>
      <w:r>
        <w:rPr>
          <w:rFonts w:hint="eastAsia" w:ascii="宋体"/>
          <w:color w:val="auto"/>
          <w:sz w:val="24"/>
        </w:rPr>
        <w:t>扩展不确定度应等于或优于燃气表最大允许误差绝对值的1/3，并</w:t>
      </w:r>
      <w:r>
        <w:rPr>
          <w:rFonts w:hint="eastAsia" w:hAnsi="宋体"/>
          <w:color w:val="auto"/>
          <w:sz w:val="24"/>
        </w:rPr>
        <w:t>可采集脉冲信号、光电信号或通讯信号</w:t>
      </w:r>
      <w:r>
        <w:rPr>
          <w:rFonts w:hAnsi="宋体"/>
          <w:color w:val="auto"/>
          <w:sz w:val="24"/>
        </w:rPr>
        <w:t>。</w:t>
      </w:r>
    </w:p>
    <w:p>
      <w:pPr>
        <w:widowControl/>
        <w:numPr>
          <w:ilvl w:val="0"/>
          <w:numId w:val="7"/>
        </w:numPr>
        <w:spacing w:line="324" w:lineRule="auto"/>
        <w:jc w:val="left"/>
        <w:rPr>
          <w:color w:val="auto"/>
          <w:sz w:val="24"/>
        </w:rPr>
      </w:pPr>
      <w:r>
        <w:rPr>
          <w:rFonts w:hAnsi="宋体"/>
          <w:color w:val="auto"/>
          <w:sz w:val="24"/>
        </w:rPr>
        <w:t>配套设备</w:t>
      </w:r>
    </w:p>
    <w:p>
      <w:pPr>
        <w:widowControl/>
        <w:spacing w:line="324" w:lineRule="auto"/>
        <w:ind w:firstLine="480" w:firstLineChars="200"/>
        <w:jc w:val="left"/>
        <w:rPr>
          <w:rFonts w:hint="eastAsia" w:ascii="黑体" w:eastAsia="黑体"/>
          <w:bCs/>
          <w:color w:val="auto"/>
          <w:szCs w:val="21"/>
        </w:rPr>
      </w:pPr>
      <w:r>
        <w:rPr>
          <w:rFonts w:hAnsi="宋体"/>
          <w:color w:val="auto"/>
          <w:sz w:val="24"/>
        </w:rPr>
        <w:t>配套设备要求</w:t>
      </w:r>
      <w:r>
        <w:rPr>
          <w:rFonts w:hint="eastAsia" w:hAnsi="宋体"/>
          <w:color w:val="auto"/>
          <w:sz w:val="24"/>
        </w:rPr>
        <w:t>见</w:t>
      </w:r>
      <w:r>
        <w:rPr>
          <w:rFonts w:hAnsi="宋体"/>
          <w:color w:val="auto"/>
          <w:sz w:val="24"/>
        </w:rPr>
        <w:t>表</w:t>
      </w:r>
      <w:r>
        <w:rPr>
          <w:rFonts w:hint="eastAsia"/>
          <w:color w:val="auto"/>
          <w:sz w:val="24"/>
        </w:rPr>
        <w:t>5</w:t>
      </w:r>
      <w:r>
        <w:rPr>
          <w:rFonts w:hAnsi="宋体"/>
          <w:color w:val="auto"/>
          <w:sz w:val="24"/>
        </w:rPr>
        <w:t>所示。</w:t>
      </w:r>
    </w:p>
    <w:p>
      <w:pPr>
        <w:widowControl/>
        <w:tabs>
          <w:tab w:val="left" w:pos="426"/>
          <w:tab w:val="left" w:pos="3402"/>
          <w:tab w:val="left" w:pos="3969"/>
        </w:tabs>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Cs/>
          <w:color w:val="auto"/>
          <w:sz w:val="24"/>
          <w:szCs w:val="24"/>
        </w:rPr>
        <w:t>表5 配套设备</w:t>
      </w:r>
    </w:p>
    <w:tbl>
      <w:tblPr>
        <w:tblStyle w:val="18"/>
        <w:tblW w:w="88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560"/>
        <w:gridCol w:w="370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675" w:type="dxa"/>
            <w:noWrap w:val="0"/>
            <w:vAlign w:val="center"/>
          </w:tcPr>
          <w:p>
            <w:pPr>
              <w:jc w:val="center"/>
              <w:rPr>
                <w:color w:val="auto"/>
                <w:szCs w:val="21"/>
              </w:rPr>
            </w:pPr>
            <w:r>
              <w:rPr>
                <w:rFonts w:hAnsi="宋体"/>
                <w:color w:val="auto"/>
                <w:szCs w:val="21"/>
              </w:rPr>
              <w:t>序号</w:t>
            </w:r>
          </w:p>
        </w:tc>
        <w:tc>
          <w:tcPr>
            <w:tcW w:w="1560" w:type="dxa"/>
            <w:noWrap w:val="0"/>
            <w:vAlign w:val="center"/>
          </w:tcPr>
          <w:p>
            <w:pPr>
              <w:jc w:val="center"/>
              <w:rPr>
                <w:color w:val="auto"/>
                <w:szCs w:val="21"/>
              </w:rPr>
            </w:pPr>
            <w:r>
              <w:rPr>
                <w:rFonts w:hAnsi="宋体"/>
                <w:color w:val="auto"/>
                <w:szCs w:val="21"/>
              </w:rPr>
              <w:t>设备名称</w:t>
            </w:r>
          </w:p>
        </w:tc>
        <w:tc>
          <w:tcPr>
            <w:tcW w:w="3704" w:type="dxa"/>
            <w:noWrap w:val="0"/>
            <w:vAlign w:val="center"/>
          </w:tcPr>
          <w:p>
            <w:pPr>
              <w:jc w:val="center"/>
              <w:rPr>
                <w:color w:val="auto"/>
                <w:szCs w:val="21"/>
              </w:rPr>
            </w:pPr>
            <w:r>
              <w:rPr>
                <w:rFonts w:hint="eastAsia" w:hAnsi="宋体"/>
                <w:color w:val="auto"/>
                <w:szCs w:val="21"/>
              </w:rPr>
              <w:t>测量</w:t>
            </w:r>
            <w:r>
              <w:rPr>
                <w:rFonts w:hAnsi="宋体"/>
                <w:color w:val="auto"/>
                <w:szCs w:val="21"/>
              </w:rPr>
              <w:t>要求</w:t>
            </w:r>
          </w:p>
        </w:tc>
        <w:tc>
          <w:tcPr>
            <w:tcW w:w="2880" w:type="dxa"/>
            <w:noWrap w:val="0"/>
            <w:vAlign w:val="center"/>
          </w:tcPr>
          <w:p>
            <w:pPr>
              <w:jc w:val="center"/>
              <w:rPr>
                <w:color w:val="auto"/>
                <w:szCs w:val="21"/>
              </w:rPr>
            </w:pPr>
            <w:r>
              <w:rPr>
                <w:rFonts w:hAnsi="宋体"/>
                <w:color w:val="auto"/>
                <w:szCs w:val="21"/>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noWrap w:val="0"/>
            <w:vAlign w:val="center"/>
          </w:tcPr>
          <w:p>
            <w:pPr>
              <w:jc w:val="center"/>
              <w:rPr>
                <w:color w:val="auto"/>
                <w:szCs w:val="21"/>
              </w:rPr>
            </w:pPr>
            <w:r>
              <w:rPr>
                <w:color w:val="auto"/>
                <w:szCs w:val="21"/>
              </w:rPr>
              <w:t>1</w:t>
            </w:r>
          </w:p>
        </w:tc>
        <w:tc>
          <w:tcPr>
            <w:tcW w:w="1560" w:type="dxa"/>
            <w:noWrap w:val="0"/>
            <w:vAlign w:val="center"/>
          </w:tcPr>
          <w:p>
            <w:pPr>
              <w:jc w:val="center"/>
              <w:rPr>
                <w:color w:val="auto"/>
                <w:szCs w:val="21"/>
              </w:rPr>
            </w:pPr>
            <w:r>
              <w:rPr>
                <w:rFonts w:hAnsi="宋体"/>
                <w:color w:val="auto"/>
                <w:szCs w:val="21"/>
              </w:rPr>
              <w:t>微压计</w:t>
            </w:r>
          </w:p>
        </w:tc>
        <w:tc>
          <w:tcPr>
            <w:tcW w:w="3704" w:type="dxa"/>
            <w:noWrap w:val="0"/>
            <w:vAlign w:val="center"/>
          </w:tcPr>
          <w:p>
            <w:pPr>
              <w:jc w:val="center"/>
              <w:rPr>
                <w:rFonts w:hint="eastAsia" w:ascii="宋体"/>
                <w:color w:val="auto"/>
                <w:szCs w:val="21"/>
              </w:rPr>
            </w:pPr>
            <w:r>
              <w:rPr>
                <w:rFonts w:hint="eastAsia" w:ascii="宋体"/>
                <w:color w:val="auto"/>
                <w:szCs w:val="21"/>
              </w:rPr>
              <w:t>1.0级或者准确度等级相当的其它压力计</w:t>
            </w:r>
          </w:p>
        </w:tc>
        <w:tc>
          <w:tcPr>
            <w:tcW w:w="2880" w:type="dxa"/>
            <w:noWrap w:val="0"/>
            <w:vAlign w:val="center"/>
          </w:tcPr>
          <w:p>
            <w:pPr>
              <w:jc w:val="center"/>
              <w:rPr>
                <w:rFonts w:hint="eastAsia" w:ascii="宋体"/>
                <w:color w:val="auto"/>
                <w:szCs w:val="21"/>
              </w:rPr>
            </w:pPr>
            <w:r>
              <w:rPr>
                <w:rFonts w:hint="eastAsia" w:ascii="宋体"/>
                <w:color w:val="auto"/>
                <w:szCs w:val="21"/>
              </w:rPr>
              <w:t>测量压力损失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noWrap w:val="0"/>
            <w:vAlign w:val="center"/>
          </w:tcPr>
          <w:p>
            <w:pPr>
              <w:jc w:val="center"/>
              <w:rPr>
                <w:color w:val="auto"/>
                <w:szCs w:val="21"/>
              </w:rPr>
            </w:pPr>
            <w:r>
              <w:rPr>
                <w:color w:val="auto"/>
                <w:szCs w:val="21"/>
              </w:rPr>
              <w:t>2</w:t>
            </w:r>
          </w:p>
        </w:tc>
        <w:tc>
          <w:tcPr>
            <w:tcW w:w="1560" w:type="dxa"/>
            <w:noWrap w:val="0"/>
            <w:vAlign w:val="center"/>
          </w:tcPr>
          <w:p>
            <w:pPr>
              <w:jc w:val="center"/>
              <w:rPr>
                <w:color w:val="auto"/>
                <w:szCs w:val="21"/>
              </w:rPr>
            </w:pPr>
            <w:r>
              <w:rPr>
                <w:rFonts w:hAnsi="宋体"/>
                <w:color w:val="auto"/>
                <w:szCs w:val="21"/>
              </w:rPr>
              <w:t>温度计</w:t>
            </w:r>
          </w:p>
        </w:tc>
        <w:tc>
          <w:tcPr>
            <w:tcW w:w="3704" w:type="dxa"/>
            <w:noWrap w:val="0"/>
            <w:vAlign w:val="center"/>
          </w:tcPr>
          <w:p>
            <w:pPr>
              <w:jc w:val="center"/>
              <w:rPr>
                <w:rFonts w:hint="eastAsia" w:hAnsi="宋体"/>
                <w:color w:val="auto"/>
                <w:szCs w:val="21"/>
              </w:rPr>
            </w:pPr>
            <w:r>
              <w:rPr>
                <w:rFonts w:hint="eastAsia" w:ascii="宋体"/>
                <w:color w:val="auto"/>
                <w:szCs w:val="21"/>
              </w:rPr>
              <w:t>分度值</w:t>
            </w:r>
            <w:r>
              <w:rPr>
                <w:rFonts w:hint="eastAsia"/>
                <w:color w:val="auto"/>
                <w:szCs w:val="21"/>
              </w:rPr>
              <w:t>≤</w:t>
            </w:r>
            <w:r>
              <w:rPr>
                <w:rFonts w:hint="eastAsia" w:ascii="宋体"/>
                <w:color w:val="auto"/>
                <w:szCs w:val="21"/>
              </w:rPr>
              <w:t>0.1 ℃</w:t>
            </w:r>
          </w:p>
        </w:tc>
        <w:tc>
          <w:tcPr>
            <w:tcW w:w="2880" w:type="dxa"/>
            <w:noWrap w:val="0"/>
            <w:vAlign w:val="center"/>
          </w:tcPr>
          <w:p>
            <w:pPr>
              <w:jc w:val="center"/>
              <w:rPr>
                <w:color w:val="auto"/>
                <w:szCs w:val="21"/>
              </w:rPr>
            </w:pPr>
            <w:r>
              <w:rPr>
                <w:rFonts w:hAnsi="宋体"/>
                <w:color w:val="auto"/>
                <w:szCs w:val="21"/>
              </w:rPr>
              <w:t>测量燃气表气温</w:t>
            </w:r>
            <w:r>
              <w:rPr>
                <w:rFonts w:hint="eastAsia" w:hAnsi="宋体"/>
                <w:color w:val="auto"/>
                <w:szCs w:val="21"/>
              </w:rPr>
              <w:t>、</w:t>
            </w:r>
            <w:r>
              <w:rPr>
                <w:rFonts w:hAnsi="宋体"/>
                <w:color w:val="auto"/>
                <w:szCs w:val="21"/>
              </w:rPr>
              <w:t>标准装置液体和气体温度、环境温度等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noWrap w:val="0"/>
            <w:vAlign w:val="center"/>
          </w:tcPr>
          <w:p>
            <w:pPr>
              <w:jc w:val="center"/>
              <w:rPr>
                <w:color w:val="auto"/>
                <w:szCs w:val="21"/>
              </w:rPr>
            </w:pPr>
            <w:r>
              <w:rPr>
                <w:color w:val="auto"/>
                <w:szCs w:val="21"/>
              </w:rPr>
              <w:t>3</w:t>
            </w:r>
          </w:p>
        </w:tc>
        <w:tc>
          <w:tcPr>
            <w:tcW w:w="1560" w:type="dxa"/>
            <w:noWrap w:val="0"/>
            <w:vAlign w:val="center"/>
          </w:tcPr>
          <w:p>
            <w:pPr>
              <w:jc w:val="center"/>
              <w:rPr>
                <w:color w:val="auto"/>
                <w:szCs w:val="21"/>
              </w:rPr>
            </w:pPr>
            <w:r>
              <w:rPr>
                <w:rFonts w:hAnsi="宋体"/>
                <w:color w:val="auto"/>
                <w:szCs w:val="21"/>
              </w:rPr>
              <w:t>压力计</w:t>
            </w:r>
          </w:p>
        </w:tc>
        <w:tc>
          <w:tcPr>
            <w:tcW w:w="3704" w:type="dxa"/>
            <w:noWrap w:val="0"/>
            <w:vAlign w:val="center"/>
          </w:tcPr>
          <w:p>
            <w:pPr>
              <w:jc w:val="center"/>
              <w:rPr>
                <w:rFonts w:hint="eastAsia" w:hAnsi="宋体"/>
                <w:color w:val="auto"/>
                <w:szCs w:val="21"/>
              </w:rPr>
            </w:pPr>
            <w:r>
              <w:rPr>
                <w:rFonts w:hint="eastAsia" w:ascii="宋体"/>
                <w:color w:val="auto"/>
                <w:szCs w:val="21"/>
              </w:rPr>
              <w:t>分辨力</w:t>
            </w:r>
            <w:r>
              <w:rPr>
                <w:rFonts w:hint="eastAsia"/>
                <w:color w:val="auto"/>
                <w:szCs w:val="21"/>
              </w:rPr>
              <w:t>≤</w:t>
            </w:r>
            <w:r>
              <w:rPr>
                <w:rFonts w:hint="eastAsia" w:ascii="宋体"/>
                <w:color w:val="auto"/>
                <w:szCs w:val="21"/>
              </w:rPr>
              <w:t>10 P</w:t>
            </w:r>
            <w:r>
              <w:rPr>
                <w:rFonts w:ascii="宋体"/>
                <w:color w:val="auto"/>
                <w:szCs w:val="21"/>
              </w:rPr>
              <w:t>a</w:t>
            </w:r>
          </w:p>
        </w:tc>
        <w:tc>
          <w:tcPr>
            <w:tcW w:w="2880" w:type="dxa"/>
            <w:noWrap w:val="0"/>
            <w:vAlign w:val="center"/>
          </w:tcPr>
          <w:p>
            <w:pPr>
              <w:jc w:val="center"/>
              <w:rPr>
                <w:color w:val="auto"/>
                <w:szCs w:val="21"/>
              </w:rPr>
            </w:pPr>
            <w:r>
              <w:rPr>
                <w:rFonts w:hAnsi="宋体"/>
                <w:color w:val="auto"/>
                <w:szCs w:val="21"/>
              </w:rPr>
              <w:t>测量</w:t>
            </w:r>
            <w:r>
              <w:rPr>
                <w:rFonts w:hint="eastAsia" w:hAnsi="宋体"/>
                <w:color w:val="auto"/>
                <w:szCs w:val="21"/>
              </w:rPr>
              <w:t>燃气表</w:t>
            </w:r>
            <w:r>
              <w:rPr>
                <w:rFonts w:hAnsi="宋体"/>
                <w:color w:val="auto"/>
                <w:szCs w:val="21"/>
              </w:rPr>
              <w:t>表前压</w:t>
            </w:r>
            <w:r>
              <w:rPr>
                <w:rFonts w:hint="eastAsia" w:hAnsi="宋体"/>
                <w:color w:val="auto"/>
                <w:szCs w:val="21"/>
              </w:rPr>
              <w:t>力</w:t>
            </w:r>
            <w:r>
              <w:rPr>
                <w:rFonts w:hAnsi="宋体"/>
                <w:color w:val="auto"/>
                <w:szCs w:val="21"/>
              </w:rPr>
              <w:t>和标准装置处的压力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jc w:val="center"/>
        </w:trPr>
        <w:tc>
          <w:tcPr>
            <w:tcW w:w="675" w:type="dxa"/>
            <w:noWrap w:val="0"/>
            <w:vAlign w:val="center"/>
          </w:tcPr>
          <w:p>
            <w:pPr>
              <w:jc w:val="center"/>
              <w:rPr>
                <w:color w:val="auto"/>
                <w:szCs w:val="21"/>
              </w:rPr>
            </w:pPr>
            <w:r>
              <w:rPr>
                <w:color w:val="auto"/>
                <w:szCs w:val="21"/>
              </w:rPr>
              <w:t>4</w:t>
            </w:r>
          </w:p>
        </w:tc>
        <w:tc>
          <w:tcPr>
            <w:tcW w:w="1560" w:type="dxa"/>
            <w:noWrap w:val="0"/>
            <w:vAlign w:val="center"/>
          </w:tcPr>
          <w:p>
            <w:pPr>
              <w:jc w:val="center"/>
              <w:rPr>
                <w:color w:val="auto"/>
                <w:szCs w:val="21"/>
              </w:rPr>
            </w:pPr>
            <w:r>
              <w:rPr>
                <w:rFonts w:hAnsi="宋体"/>
                <w:color w:val="auto"/>
                <w:szCs w:val="21"/>
              </w:rPr>
              <w:t>压力表</w:t>
            </w:r>
          </w:p>
        </w:tc>
        <w:tc>
          <w:tcPr>
            <w:tcW w:w="3704" w:type="dxa"/>
            <w:noWrap w:val="0"/>
            <w:vAlign w:val="center"/>
          </w:tcPr>
          <w:p>
            <w:pPr>
              <w:jc w:val="center"/>
              <w:rPr>
                <w:color w:val="auto"/>
                <w:szCs w:val="21"/>
              </w:rPr>
            </w:pPr>
            <w:r>
              <w:rPr>
                <w:rFonts w:hint="eastAsia" w:ascii="宋体"/>
                <w:color w:val="auto"/>
                <w:szCs w:val="21"/>
              </w:rPr>
              <w:t>分辨力</w:t>
            </w:r>
            <w:r>
              <w:rPr>
                <w:rFonts w:hint="eastAsia"/>
                <w:color w:val="auto"/>
                <w:szCs w:val="21"/>
              </w:rPr>
              <w:t>≤</w:t>
            </w:r>
            <w:r>
              <w:rPr>
                <w:rFonts w:hint="eastAsia" w:ascii="宋体"/>
                <w:color w:val="auto"/>
                <w:szCs w:val="21"/>
              </w:rPr>
              <w:t>200 P</w:t>
            </w:r>
            <w:r>
              <w:rPr>
                <w:rFonts w:ascii="宋体"/>
                <w:color w:val="auto"/>
                <w:szCs w:val="21"/>
              </w:rPr>
              <w:t>a</w:t>
            </w:r>
          </w:p>
        </w:tc>
        <w:tc>
          <w:tcPr>
            <w:tcW w:w="2880" w:type="dxa"/>
            <w:noWrap w:val="0"/>
            <w:vAlign w:val="center"/>
          </w:tcPr>
          <w:p>
            <w:pPr>
              <w:jc w:val="center"/>
              <w:rPr>
                <w:color w:val="auto"/>
                <w:szCs w:val="21"/>
              </w:rPr>
            </w:pPr>
            <w:r>
              <w:rPr>
                <w:rFonts w:hAnsi="宋体"/>
                <w:color w:val="auto"/>
                <w:szCs w:val="21"/>
              </w:rPr>
              <w:t>密封性试验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75" w:type="dxa"/>
            <w:noWrap w:val="0"/>
            <w:vAlign w:val="center"/>
          </w:tcPr>
          <w:p>
            <w:pPr>
              <w:jc w:val="center"/>
              <w:rPr>
                <w:color w:val="auto"/>
                <w:szCs w:val="21"/>
              </w:rPr>
            </w:pPr>
            <w:r>
              <w:rPr>
                <w:color w:val="auto"/>
                <w:szCs w:val="21"/>
              </w:rPr>
              <w:t>5</w:t>
            </w:r>
          </w:p>
        </w:tc>
        <w:tc>
          <w:tcPr>
            <w:tcW w:w="1560" w:type="dxa"/>
            <w:noWrap w:val="0"/>
            <w:vAlign w:val="center"/>
          </w:tcPr>
          <w:p>
            <w:pPr>
              <w:jc w:val="center"/>
              <w:rPr>
                <w:color w:val="auto"/>
                <w:szCs w:val="21"/>
              </w:rPr>
            </w:pPr>
            <w:r>
              <w:rPr>
                <w:rFonts w:hAnsi="宋体"/>
                <w:color w:val="auto"/>
                <w:szCs w:val="21"/>
              </w:rPr>
              <w:t>气压表（计）</w:t>
            </w:r>
          </w:p>
        </w:tc>
        <w:tc>
          <w:tcPr>
            <w:tcW w:w="3704" w:type="dxa"/>
            <w:noWrap w:val="0"/>
            <w:vAlign w:val="center"/>
          </w:tcPr>
          <w:p>
            <w:pPr>
              <w:jc w:val="center"/>
              <w:rPr>
                <w:rFonts w:ascii="宋体" w:hAnsi="宋体"/>
                <w:dstrike/>
                <w:color w:val="auto"/>
                <w:szCs w:val="21"/>
              </w:rPr>
            </w:pPr>
            <w:r>
              <w:rPr>
                <w:rFonts w:hint="eastAsia" w:ascii="宋体" w:hAnsi="宋体"/>
                <w:color w:val="auto"/>
                <w:szCs w:val="21"/>
              </w:rPr>
              <w:t>MPE：</w:t>
            </w:r>
            <w:r>
              <w:rPr>
                <w:rFonts w:ascii="宋体" w:hAnsi="宋体"/>
                <w:color w:val="auto"/>
                <w:szCs w:val="21"/>
              </w:rPr>
              <w:t>±2.5</w:t>
            </w:r>
            <w:r>
              <w:rPr>
                <w:rFonts w:hint="eastAsia" w:ascii="宋体" w:hAnsi="宋体"/>
                <w:color w:val="auto"/>
                <w:szCs w:val="21"/>
              </w:rPr>
              <w:t xml:space="preserve"> </w:t>
            </w:r>
            <w:r>
              <w:rPr>
                <w:rFonts w:ascii="宋体" w:hAnsi="宋体"/>
                <w:color w:val="auto"/>
                <w:szCs w:val="21"/>
              </w:rPr>
              <w:t>hPa</w:t>
            </w:r>
          </w:p>
        </w:tc>
        <w:tc>
          <w:tcPr>
            <w:tcW w:w="2880" w:type="dxa"/>
            <w:noWrap w:val="0"/>
            <w:vAlign w:val="center"/>
          </w:tcPr>
          <w:p>
            <w:pPr>
              <w:jc w:val="center"/>
              <w:rPr>
                <w:color w:val="auto"/>
                <w:szCs w:val="21"/>
              </w:rPr>
            </w:pPr>
            <w:r>
              <w:rPr>
                <w:rFonts w:hAnsi="宋体"/>
                <w:color w:val="auto"/>
                <w:szCs w:val="21"/>
              </w:rPr>
              <w:t>测量大气压力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675" w:type="dxa"/>
            <w:noWrap w:val="0"/>
            <w:vAlign w:val="center"/>
          </w:tcPr>
          <w:p>
            <w:pPr>
              <w:jc w:val="center"/>
              <w:rPr>
                <w:color w:val="auto"/>
                <w:szCs w:val="21"/>
              </w:rPr>
            </w:pPr>
            <w:r>
              <w:rPr>
                <w:color w:val="auto"/>
                <w:szCs w:val="21"/>
              </w:rPr>
              <w:t>6</w:t>
            </w:r>
          </w:p>
        </w:tc>
        <w:tc>
          <w:tcPr>
            <w:tcW w:w="1560" w:type="dxa"/>
            <w:noWrap w:val="0"/>
            <w:vAlign w:val="center"/>
          </w:tcPr>
          <w:p>
            <w:pPr>
              <w:jc w:val="center"/>
              <w:rPr>
                <w:color w:val="auto"/>
                <w:szCs w:val="21"/>
              </w:rPr>
            </w:pPr>
            <w:r>
              <w:rPr>
                <w:rFonts w:hAnsi="宋体"/>
                <w:color w:val="auto"/>
                <w:szCs w:val="21"/>
              </w:rPr>
              <w:t>湿度计</w:t>
            </w:r>
          </w:p>
        </w:tc>
        <w:tc>
          <w:tcPr>
            <w:tcW w:w="3704" w:type="dxa"/>
            <w:noWrap w:val="0"/>
            <w:vAlign w:val="center"/>
          </w:tcPr>
          <w:p>
            <w:pPr>
              <w:jc w:val="center"/>
              <w:rPr>
                <w:rFonts w:ascii="宋体" w:hAnsi="宋体"/>
                <w:color w:val="auto"/>
                <w:szCs w:val="21"/>
              </w:rPr>
            </w:pPr>
            <w:r>
              <w:rPr>
                <w:rFonts w:hint="eastAsia" w:ascii="宋体" w:hAnsi="宋体"/>
                <w:color w:val="auto"/>
                <w:szCs w:val="21"/>
              </w:rPr>
              <w:t>MPE：</w:t>
            </w:r>
            <w:r>
              <w:rPr>
                <w:rFonts w:ascii="宋体" w:hAnsi="宋体"/>
                <w:color w:val="auto"/>
                <w:szCs w:val="21"/>
              </w:rPr>
              <w:t>±10</w:t>
            </w:r>
            <w:r>
              <w:rPr>
                <w:rFonts w:hint="eastAsia" w:ascii="宋体" w:hAnsi="宋体"/>
                <w:color w:val="auto"/>
                <w:szCs w:val="21"/>
              </w:rPr>
              <w:t xml:space="preserve"> </w:t>
            </w:r>
            <w:r>
              <w:rPr>
                <w:rFonts w:ascii="宋体" w:hAnsi="宋体"/>
                <w:color w:val="auto"/>
                <w:szCs w:val="21"/>
              </w:rPr>
              <w:t>%RH</w:t>
            </w:r>
          </w:p>
        </w:tc>
        <w:tc>
          <w:tcPr>
            <w:tcW w:w="2880" w:type="dxa"/>
            <w:noWrap w:val="0"/>
            <w:vAlign w:val="center"/>
          </w:tcPr>
          <w:p>
            <w:pPr>
              <w:jc w:val="center"/>
              <w:rPr>
                <w:color w:val="auto"/>
                <w:szCs w:val="21"/>
              </w:rPr>
            </w:pPr>
            <w:r>
              <w:rPr>
                <w:rFonts w:hAnsi="宋体"/>
                <w:color w:val="auto"/>
                <w:szCs w:val="21"/>
              </w:rPr>
              <w:t>测量环境湿度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75" w:type="dxa"/>
            <w:noWrap w:val="0"/>
            <w:vAlign w:val="center"/>
          </w:tcPr>
          <w:p>
            <w:pPr>
              <w:jc w:val="center"/>
              <w:rPr>
                <w:color w:val="auto"/>
                <w:szCs w:val="21"/>
              </w:rPr>
            </w:pPr>
            <w:r>
              <w:rPr>
                <w:color w:val="auto"/>
                <w:szCs w:val="21"/>
              </w:rPr>
              <w:t>7</w:t>
            </w:r>
          </w:p>
        </w:tc>
        <w:tc>
          <w:tcPr>
            <w:tcW w:w="1560" w:type="dxa"/>
            <w:noWrap w:val="0"/>
            <w:vAlign w:val="center"/>
          </w:tcPr>
          <w:p>
            <w:pPr>
              <w:jc w:val="center"/>
              <w:rPr>
                <w:color w:val="auto"/>
                <w:szCs w:val="21"/>
              </w:rPr>
            </w:pPr>
            <w:r>
              <w:rPr>
                <w:rFonts w:hAnsi="宋体"/>
                <w:color w:val="auto"/>
                <w:szCs w:val="21"/>
              </w:rPr>
              <w:t>秒表</w:t>
            </w:r>
            <w:r>
              <w:rPr>
                <w:rFonts w:hint="eastAsia" w:hAnsi="宋体"/>
                <w:color w:val="auto"/>
                <w:szCs w:val="21"/>
              </w:rPr>
              <w:t>或电子计数器</w:t>
            </w:r>
          </w:p>
        </w:tc>
        <w:tc>
          <w:tcPr>
            <w:tcW w:w="3704" w:type="dxa"/>
            <w:noWrap w:val="0"/>
            <w:vAlign w:val="center"/>
          </w:tcPr>
          <w:p>
            <w:pPr>
              <w:jc w:val="center"/>
              <w:rPr>
                <w:color w:val="auto"/>
                <w:szCs w:val="21"/>
              </w:rPr>
            </w:pPr>
            <w:r>
              <w:rPr>
                <w:rFonts w:hint="eastAsia" w:hAnsi="宋体"/>
                <w:color w:val="auto"/>
                <w:szCs w:val="21"/>
              </w:rPr>
              <w:t>秒表分辨力：</w:t>
            </w:r>
            <w:r>
              <w:rPr>
                <w:rFonts w:ascii="宋体" w:hAnsi="宋体"/>
                <w:color w:val="auto"/>
                <w:szCs w:val="21"/>
              </w:rPr>
              <w:t>0.01</w:t>
            </w:r>
            <w:r>
              <w:rPr>
                <w:rFonts w:hint="eastAsia" w:ascii="宋体" w:hAnsi="宋体"/>
                <w:color w:val="auto"/>
                <w:szCs w:val="21"/>
              </w:rPr>
              <w:t xml:space="preserve"> </w:t>
            </w:r>
            <w:r>
              <w:rPr>
                <w:rFonts w:ascii="宋体" w:hAnsi="宋体"/>
                <w:color w:val="auto"/>
                <w:szCs w:val="21"/>
              </w:rPr>
              <w:t>s</w:t>
            </w:r>
            <w:r>
              <w:rPr>
                <w:rFonts w:hint="eastAsia" w:hAnsi="宋体"/>
                <w:color w:val="auto"/>
                <w:szCs w:val="21"/>
              </w:rPr>
              <w:t>；电子计数器分辨力：</w:t>
            </w:r>
            <w:r>
              <w:rPr>
                <w:rFonts w:ascii="宋体" w:hAnsi="宋体"/>
                <w:color w:val="auto"/>
                <w:szCs w:val="21"/>
              </w:rPr>
              <w:t>0.0</w:t>
            </w:r>
            <w:r>
              <w:rPr>
                <w:rFonts w:hint="eastAsia" w:ascii="宋体" w:hAnsi="宋体"/>
                <w:color w:val="auto"/>
                <w:szCs w:val="21"/>
              </w:rPr>
              <w:t>0</w:t>
            </w:r>
            <w:r>
              <w:rPr>
                <w:rFonts w:ascii="宋体" w:hAnsi="宋体"/>
                <w:color w:val="auto"/>
                <w:szCs w:val="21"/>
              </w:rPr>
              <w:t>1</w:t>
            </w:r>
            <w:r>
              <w:rPr>
                <w:rFonts w:hint="eastAsia" w:ascii="宋体" w:hAnsi="宋体"/>
                <w:color w:val="auto"/>
                <w:szCs w:val="21"/>
              </w:rPr>
              <w:t xml:space="preserve"> </w:t>
            </w:r>
            <w:r>
              <w:rPr>
                <w:rFonts w:ascii="宋体" w:hAnsi="宋体"/>
                <w:color w:val="auto"/>
                <w:szCs w:val="21"/>
              </w:rPr>
              <w:t>s</w:t>
            </w:r>
            <w:r>
              <w:rPr>
                <w:rFonts w:hint="eastAsia" w:ascii="宋体" w:hAnsi="宋体"/>
                <w:color w:val="auto"/>
                <w:szCs w:val="21"/>
              </w:rPr>
              <w:t>，8h稳定度</w:t>
            </w:r>
            <w:r>
              <w:rPr>
                <w:rFonts w:hint="eastAsia"/>
                <w:color w:val="auto"/>
                <w:szCs w:val="21"/>
              </w:rPr>
              <w:t>≤1×10</w:t>
            </w:r>
            <w:r>
              <w:rPr>
                <w:rFonts w:hint="eastAsia"/>
                <w:color w:val="auto"/>
                <w:szCs w:val="21"/>
                <w:vertAlign w:val="superscript"/>
              </w:rPr>
              <w:t>-5</w:t>
            </w:r>
          </w:p>
        </w:tc>
        <w:tc>
          <w:tcPr>
            <w:tcW w:w="2880" w:type="dxa"/>
            <w:noWrap w:val="0"/>
            <w:vAlign w:val="center"/>
          </w:tcPr>
          <w:p>
            <w:pPr>
              <w:jc w:val="center"/>
              <w:rPr>
                <w:color w:val="auto"/>
                <w:szCs w:val="21"/>
              </w:rPr>
            </w:pPr>
            <w:r>
              <w:rPr>
                <w:rFonts w:hAnsi="宋体"/>
                <w:color w:val="auto"/>
                <w:szCs w:val="21"/>
              </w:rPr>
              <w:t>测量时间</w:t>
            </w:r>
          </w:p>
        </w:tc>
      </w:tr>
    </w:tbl>
    <w:p>
      <w:pPr>
        <w:widowControl/>
        <w:numPr>
          <w:ilvl w:val="0"/>
          <w:numId w:val="7"/>
        </w:numPr>
        <w:spacing w:line="324" w:lineRule="auto"/>
        <w:jc w:val="left"/>
        <w:rPr>
          <w:color w:val="auto"/>
          <w:sz w:val="24"/>
        </w:rPr>
      </w:pPr>
      <w:r>
        <w:rPr>
          <w:rFonts w:hint="eastAsia" w:hAnsi="宋体"/>
          <w:color w:val="auto"/>
          <w:sz w:val="24"/>
        </w:rPr>
        <w:t>检定</w:t>
      </w:r>
      <w:r>
        <w:rPr>
          <w:rFonts w:hAnsi="宋体"/>
          <w:color w:val="auto"/>
          <w:sz w:val="24"/>
        </w:rPr>
        <w:t>环境条件</w:t>
      </w:r>
    </w:p>
    <w:p>
      <w:pPr>
        <w:widowControl/>
        <w:spacing w:line="324" w:lineRule="auto"/>
        <w:jc w:val="left"/>
        <w:rPr>
          <w:rFonts w:hint="eastAsia"/>
          <w:color w:val="auto"/>
          <w:sz w:val="24"/>
        </w:rPr>
      </w:pPr>
      <w:r>
        <w:rPr>
          <w:rFonts w:hint="eastAsia"/>
          <w:color w:val="auto"/>
          <w:sz w:val="24"/>
        </w:rPr>
        <w:t>7.1.3.1</w:t>
      </w:r>
      <w:r>
        <w:rPr>
          <w:color w:val="auto"/>
          <w:sz w:val="24"/>
        </w:rPr>
        <w:t>检定环境条件要求</w:t>
      </w:r>
      <w:r>
        <w:rPr>
          <w:rFonts w:hint="eastAsia"/>
          <w:color w:val="auto"/>
          <w:sz w:val="24"/>
        </w:rPr>
        <w:t>：</w:t>
      </w:r>
    </w:p>
    <w:p>
      <w:pPr>
        <w:pStyle w:val="16"/>
        <w:shd w:val="clear" w:color="auto" w:fill="FFFFFF"/>
        <w:spacing w:line="324" w:lineRule="auto"/>
        <w:ind w:firstLine="420" w:firstLineChars="200"/>
        <w:rPr>
          <w:rFonts w:hint="eastAsia"/>
          <w:color w:val="auto"/>
        </w:rPr>
      </w:pPr>
      <w:r>
        <w:rPr>
          <w:rFonts w:ascii="Times New Roman" w:hAnsi="Times New Roman"/>
          <w:color w:val="auto"/>
          <w:sz w:val="21"/>
          <w:szCs w:val="21"/>
        </w:rPr>
        <w:t>——</w:t>
      </w:r>
      <w:r>
        <w:rPr>
          <w:rFonts w:hint="eastAsia"/>
          <w:color w:val="auto"/>
        </w:rPr>
        <w:t>环境</w:t>
      </w:r>
      <w:r>
        <w:rPr>
          <w:color w:val="auto"/>
        </w:rPr>
        <w:t>温度：</w:t>
      </w:r>
      <w:r>
        <w:rPr>
          <w:rFonts w:ascii="Times New Roman"/>
          <w:color w:val="auto"/>
        </w:rPr>
        <w:t>（</w:t>
      </w:r>
      <w:r>
        <w:rPr>
          <w:rFonts w:ascii="Times New Roman" w:hAnsi="Times New Roman"/>
          <w:color w:val="auto"/>
        </w:rPr>
        <w:t>20±</w:t>
      </w:r>
      <w:r>
        <w:rPr>
          <w:rFonts w:hint="eastAsia" w:ascii="Times New Roman" w:hAnsi="Times New Roman"/>
          <w:color w:val="auto"/>
          <w:lang w:val="en-US" w:eastAsia="zh-CN"/>
        </w:rPr>
        <w:t>2</w:t>
      </w:r>
      <w:r>
        <w:rPr>
          <w:rFonts w:ascii="Times New Roman"/>
          <w:color w:val="auto"/>
        </w:rPr>
        <w:t>）</w:t>
      </w:r>
      <w:r>
        <w:rPr>
          <w:color w:val="auto"/>
        </w:rPr>
        <w:t>℃</w:t>
      </w:r>
      <w:r>
        <w:rPr>
          <w:rFonts w:hint="eastAsia"/>
          <w:color w:val="auto"/>
        </w:rPr>
        <w:t xml:space="preserve"> ； </w:t>
      </w:r>
    </w:p>
    <w:p>
      <w:pPr>
        <w:tabs>
          <w:tab w:val="left" w:pos="709"/>
        </w:tabs>
        <w:spacing w:line="324" w:lineRule="auto"/>
        <w:ind w:firstLine="420" w:firstLineChars="200"/>
        <w:rPr>
          <w:rFonts w:hint="eastAsia"/>
          <w:color w:val="auto"/>
          <w:sz w:val="24"/>
        </w:rPr>
      </w:pPr>
      <w:r>
        <w:rPr>
          <w:rFonts w:eastAsia="微软雅黑"/>
          <w:color w:val="auto"/>
          <w:szCs w:val="21"/>
        </w:rPr>
        <w:t>——</w:t>
      </w:r>
      <w:r>
        <w:rPr>
          <w:rFonts w:hAnsi="宋体"/>
          <w:color w:val="auto"/>
          <w:sz w:val="24"/>
        </w:rPr>
        <w:t>大气压力一般为：（</w:t>
      </w:r>
      <w:r>
        <w:rPr>
          <w:color w:val="auto"/>
          <w:sz w:val="24"/>
        </w:rPr>
        <w:t>86</w:t>
      </w:r>
      <w:r>
        <w:rPr>
          <w:rFonts w:hAnsi="宋体"/>
          <w:color w:val="auto"/>
          <w:sz w:val="24"/>
        </w:rPr>
        <w:t>～</w:t>
      </w:r>
      <w:r>
        <w:rPr>
          <w:color w:val="auto"/>
          <w:sz w:val="24"/>
        </w:rPr>
        <w:t>106</w:t>
      </w:r>
      <w:r>
        <w:rPr>
          <w:rFonts w:hAnsi="宋体"/>
          <w:color w:val="auto"/>
          <w:sz w:val="24"/>
        </w:rPr>
        <w:t>）</w:t>
      </w:r>
      <w:r>
        <w:rPr>
          <w:color w:val="auto"/>
          <w:sz w:val="24"/>
        </w:rPr>
        <w:t>kPa</w:t>
      </w:r>
      <w:r>
        <w:rPr>
          <w:rFonts w:hint="eastAsia"/>
          <w:color w:val="auto"/>
          <w:sz w:val="24"/>
        </w:rPr>
        <w:t xml:space="preserve"> ；</w:t>
      </w:r>
    </w:p>
    <w:p>
      <w:pPr>
        <w:spacing w:line="324" w:lineRule="auto"/>
        <w:ind w:firstLine="420" w:firstLineChars="200"/>
        <w:rPr>
          <w:rFonts w:hint="eastAsia"/>
          <w:color w:val="auto"/>
          <w:sz w:val="24"/>
        </w:rPr>
      </w:pPr>
      <w:r>
        <w:rPr>
          <w:rFonts w:eastAsia="微软雅黑"/>
          <w:color w:val="auto"/>
          <w:szCs w:val="21"/>
        </w:rPr>
        <w:t>——</w:t>
      </w:r>
      <w:r>
        <w:rPr>
          <w:rFonts w:hAnsi="宋体"/>
          <w:color w:val="auto"/>
          <w:sz w:val="24"/>
        </w:rPr>
        <w:t>相对湿度：</w:t>
      </w:r>
      <w:r>
        <w:rPr>
          <w:rFonts w:hint="eastAsia" w:hAnsi="宋体"/>
          <w:color w:val="auto"/>
          <w:sz w:val="24"/>
        </w:rPr>
        <w:t>45</w:t>
      </w:r>
      <w:r>
        <w:rPr>
          <w:color w:val="auto"/>
          <w:sz w:val="24"/>
        </w:rPr>
        <w:t>%</w:t>
      </w:r>
      <w:r>
        <w:rPr>
          <w:rFonts w:hAnsi="宋体"/>
          <w:color w:val="auto"/>
          <w:sz w:val="24"/>
        </w:rPr>
        <w:t>～</w:t>
      </w:r>
      <w:r>
        <w:rPr>
          <w:color w:val="auto"/>
          <w:sz w:val="24"/>
        </w:rPr>
        <w:t>75%</w:t>
      </w:r>
      <w:r>
        <w:rPr>
          <w:rFonts w:hint="eastAsia"/>
          <w:color w:val="auto"/>
          <w:sz w:val="24"/>
        </w:rPr>
        <w:t xml:space="preserve"> 。</w:t>
      </w:r>
    </w:p>
    <w:p>
      <w:pPr>
        <w:spacing w:line="324" w:lineRule="auto"/>
        <w:rPr>
          <w:rFonts w:hint="eastAsia" w:hAnsi="宋体"/>
          <w:color w:val="auto"/>
          <w:sz w:val="24"/>
        </w:rPr>
      </w:pPr>
      <w:r>
        <w:rPr>
          <w:rFonts w:hint="eastAsia" w:hAnsi="宋体"/>
          <w:color w:val="auto"/>
          <w:sz w:val="24"/>
        </w:rPr>
        <w:t>7.1.3.2 被检燃气表的检定条件</w:t>
      </w:r>
    </w:p>
    <w:p>
      <w:pPr>
        <w:spacing w:line="324" w:lineRule="auto"/>
        <w:ind w:firstLine="600" w:firstLineChars="250"/>
        <w:rPr>
          <w:rFonts w:hint="eastAsia"/>
          <w:color w:val="auto"/>
          <w:sz w:val="24"/>
        </w:rPr>
      </w:pPr>
      <w:r>
        <w:rPr>
          <w:rFonts w:hint="eastAsia" w:hAnsi="宋体"/>
          <w:color w:val="auto"/>
          <w:sz w:val="24"/>
        </w:rPr>
        <w:t xml:space="preserve">a) </w:t>
      </w:r>
      <w:r>
        <w:rPr>
          <w:rFonts w:hAnsi="宋体"/>
          <w:color w:val="auto"/>
          <w:sz w:val="24"/>
        </w:rPr>
        <w:t>燃气表一般应在检定环境条件下放置</w:t>
      </w:r>
      <w:r>
        <w:rPr>
          <w:rFonts w:hint="eastAsia"/>
          <w:color w:val="auto"/>
          <w:sz w:val="24"/>
        </w:rPr>
        <w:t>4</w:t>
      </w:r>
      <w:r>
        <w:rPr>
          <w:color w:val="auto"/>
          <w:sz w:val="24"/>
        </w:rPr>
        <w:t>h</w:t>
      </w:r>
      <w:r>
        <w:rPr>
          <w:rFonts w:hAnsi="宋体"/>
          <w:color w:val="auto"/>
          <w:sz w:val="24"/>
        </w:rPr>
        <w:t>以上，等待燃气表稳定到</w:t>
      </w:r>
      <w:r>
        <w:rPr>
          <w:rFonts w:hint="eastAsia" w:hAnsi="宋体"/>
          <w:color w:val="auto"/>
          <w:sz w:val="24"/>
        </w:rPr>
        <w:t>检定</w:t>
      </w:r>
      <w:r>
        <w:rPr>
          <w:rFonts w:hAnsi="宋体"/>
          <w:color w:val="auto"/>
          <w:sz w:val="24"/>
        </w:rPr>
        <w:t>环境的温度下方可进行检定</w:t>
      </w:r>
      <w:r>
        <w:rPr>
          <w:rFonts w:hint="eastAsia" w:hAnsi="宋体"/>
          <w:color w:val="auto"/>
          <w:sz w:val="24"/>
        </w:rPr>
        <w:t>；</w:t>
      </w:r>
    </w:p>
    <w:p>
      <w:pPr>
        <w:widowControl/>
        <w:spacing w:line="324" w:lineRule="auto"/>
        <w:ind w:firstLine="600" w:firstLineChars="250"/>
        <w:jc w:val="left"/>
        <w:rPr>
          <w:rFonts w:hint="eastAsia"/>
          <w:color w:val="auto"/>
          <w:sz w:val="24"/>
        </w:rPr>
      </w:pPr>
      <w:r>
        <w:rPr>
          <w:rFonts w:hint="eastAsia" w:hAnsi="宋体"/>
          <w:color w:val="auto"/>
          <w:sz w:val="24"/>
        </w:rPr>
        <w:t xml:space="preserve">b) </w:t>
      </w:r>
      <w:r>
        <w:rPr>
          <w:rFonts w:hAnsi="宋体"/>
          <w:color w:val="auto"/>
          <w:sz w:val="24"/>
        </w:rPr>
        <w:t>检定过程中，标准装置处的温度和燃气表处的温度之差</w:t>
      </w:r>
      <w:r>
        <w:rPr>
          <w:rFonts w:hint="eastAsia"/>
          <w:color w:val="auto"/>
          <w:sz w:val="24"/>
        </w:rPr>
        <w:t>（</w:t>
      </w:r>
      <w:r>
        <w:rPr>
          <w:rFonts w:hAnsi="宋体"/>
          <w:color w:val="auto"/>
          <w:sz w:val="24"/>
        </w:rPr>
        <w:t>包括室温、标准装置液温、检定介质温度</w:t>
      </w:r>
      <w:r>
        <w:rPr>
          <w:rFonts w:hint="eastAsia"/>
          <w:color w:val="auto"/>
          <w:sz w:val="24"/>
        </w:rPr>
        <w:t>）</w:t>
      </w:r>
      <w:r>
        <w:rPr>
          <w:rFonts w:hAnsi="宋体"/>
          <w:color w:val="auto"/>
          <w:sz w:val="24"/>
        </w:rPr>
        <w:t>应不超过</w:t>
      </w:r>
      <w:r>
        <w:rPr>
          <w:color w:val="auto"/>
          <w:sz w:val="24"/>
        </w:rPr>
        <w:t>1</w:t>
      </w:r>
      <w:r>
        <w:rPr>
          <w:rFonts w:hAnsi="宋体"/>
          <w:color w:val="auto"/>
          <w:sz w:val="24"/>
        </w:rPr>
        <w:t>℃</w:t>
      </w:r>
      <w:r>
        <w:rPr>
          <w:rFonts w:hint="eastAsia" w:hAnsi="宋体"/>
          <w:color w:val="auto"/>
          <w:sz w:val="24"/>
        </w:rPr>
        <w:t>；</w:t>
      </w:r>
    </w:p>
    <w:p>
      <w:pPr>
        <w:widowControl/>
        <w:spacing w:line="324" w:lineRule="auto"/>
        <w:ind w:firstLine="600" w:firstLineChars="250"/>
        <w:jc w:val="left"/>
        <w:rPr>
          <w:color w:val="auto"/>
          <w:sz w:val="24"/>
        </w:rPr>
      </w:pPr>
      <w:r>
        <w:rPr>
          <w:rFonts w:hint="eastAsia" w:hAnsi="宋体"/>
          <w:color w:val="auto"/>
          <w:sz w:val="24"/>
        </w:rPr>
        <w:t xml:space="preserve">c) </w:t>
      </w:r>
      <w:r>
        <w:rPr>
          <w:rFonts w:hAnsi="宋体"/>
          <w:color w:val="auto"/>
          <w:sz w:val="24"/>
        </w:rPr>
        <w:t>检定介质一般为空气</w:t>
      </w:r>
      <w:r>
        <w:rPr>
          <w:rFonts w:hint="eastAsia" w:hAnsi="宋体"/>
          <w:color w:val="auto"/>
          <w:sz w:val="24"/>
        </w:rPr>
        <w:t>；</w:t>
      </w:r>
    </w:p>
    <w:p>
      <w:pPr>
        <w:widowControl/>
        <w:spacing w:line="324" w:lineRule="auto"/>
        <w:ind w:firstLine="600" w:firstLineChars="250"/>
        <w:jc w:val="left"/>
        <w:rPr>
          <w:color w:val="auto"/>
          <w:sz w:val="24"/>
        </w:rPr>
      </w:pPr>
      <w:r>
        <w:rPr>
          <w:rFonts w:hint="eastAsia" w:hAnsi="宋体"/>
          <w:color w:val="auto"/>
          <w:sz w:val="24"/>
        </w:rPr>
        <w:t xml:space="preserve">d) </w:t>
      </w:r>
      <w:r>
        <w:rPr>
          <w:rFonts w:hAnsi="宋体"/>
          <w:color w:val="auto"/>
          <w:sz w:val="24"/>
        </w:rPr>
        <w:t>检定压力不得超过燃气表最大工作压力，检定系统不得漏气。</w:t>
      </w:r>
    </w:p>
    <w:p>
      <w:pPr>
        <w:pStyle w:val="4"/>
        <w:keepLines w:val="0"/>
        <w:widowControl/>
        <w:numPr>
          <w:ilvl w:val="0"/>
          <w:numId w:val="3"/>
        </w:numPr>
        <w:spacing w:before="0" w:after="0" w:line="324" w:lineRule="auto"/>
        <w:jc w:val="left"/>
        <w:rPr>
          <w:b w:val="0"/>
          <w:color w:val="auto"/>
          <w:sz w:val="24"/>
          <w:szCs w:val="24"/>
        </w:rPr>
      </w:pPr>
      <w:bookmarkStart w:id="193" w:name="_Toc468349718"/>
      <w:bookmarkStart w:id="194" w:name="_Toc327459480"/>
      <w:bookmarkStart w:id="195" w:name="_Toc301019390"/>
      <w:bookmarkStart w:id="196" w:name="_Toc301019322"/>
      <w:bookmarkStart w:id="197" w:name="_Toc301019284"/>
      <w:bookmarkStart w:id="198" w:name="_Toc295726486"/>
      <w:r>
        <w:rPr>
          <w:rFonts w:hAnsi="宋体"/>
          <w:b w:val="0"/>
          <w:color w:val="auto"/>
          <w:sz w:val="24"/>
          <w:szCs w:val="24"/>
        </w:rPr>
        <w:t>检定项目</w:t>
      </w:r>
      <w:bookmarkEnd w:id="193"/>
      <w:bookmarkEnd w:id="194"/>
      <w:bookmarkEnd w:id="195"/>
      <w:bookmarkEnd w:id="196"/>
      <w:bookmarkEnd w:id="197"/>
      <w:bookmarkEnd w:id="198"/>
    </w:p>
    <w:p>
      <w:pPr>
        <w:spacing w:line="324" w:lineRule="auto"/>
        <w:ind w:firstLine="424" w:firstLineChars="177"/>
        <w:rPr>
          <w:rFonts w:hint="eastAsia" w:hAnsi="宋体"/>
          <w:color w:val="auto"/>
          <w:sz w:val="24"/>
        </w:rPr>
      </w:pPr>
      <w:r>
        <w:rPr>
          <w:rFonts w:hint="eastAsia" w:ascii="宋体"/>
          <w:color w:val="auto"/>
          <w:sz w:val="24"/>
        </w:rPr>
        <w:t>首次检定、后续检定和使用中检查的项目见表6中。</w:t>
      </w:r>
    </w:p>
    <w:p>
      <w:pPr>
        <w:widowControl/>
        <w:tabs>
          <w:tab w:val="left" w:pos="4140"/>
        </w:tabs>
        <w:jc w:val="center"/>
        <w:rPr>
          <w:rFonts w:hint="eastAsia" w:hAnsi="宋体"/>
          <w:bCs/>
          <w:color w:val="auto"/>
          <w:sz w:val="24"/>
        </w:rPr>
      </w:pPr>
    </w:p>
    <w:p>
      <w:pPr>
        <w:widowControl/>
        <w:tabs>
          <w:tab w:val="left" w:pos="4140"/>
        </w:tabs>
        <w:jc w:val="center"/>
        <w:rPr>
          <w:color w:val="auto"/>
          <w:sz w:val="24"/>
        </w:rPr>
      </w:pPr>
      <w:r>
        <w:rPr>
          <w:rFonts w:hint="eastAsia" w:hAnsi="宋体"/>
          <w:bCs/>
          <w:color w:val="auto"/>
          <w:sz w:val="24"/>
        </w:rPr>
        <w:t xml:space="preserve">表6 </w:t>
      </w:r>
      <w:r>
        <w:rPr>
          <w:rFonts w:hAnsi="宋体"/>
          <w:bCs/>
          <w:color w:val="auto"/>
          <w:sz w:val="24"/>
        </w:rPr>
        <w:t>检定项目一览表</w:t>
      </w:r>
    </w:p>
    <w:tbl>
      <w:tblPr>
        <w:tblStyle w:val="18"/>
        <w:tblW w:w="906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265"/>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720" w:type="dxa"/>
            <w:vMerge w:val="restart"/>
            <w:noWrap w:val="0"/>
            <w:vAlign w:val="center"/>
          </w:tcPr>
          <w:p>
            <w:pPr>
              <w:tabs>
                <w:tab w:val="left" w:pos="851"/>
              </w:tabs>
              <w:jc w:val="center"/>
              <w:rPr>
                <w:color w:val="auto"/>
                <w:szCs w:val="21"/>
              </w:rPr>
            </w:pPr>
            <w:r>
              <w:rPr>
                <w:rFonts w:hAnsi="宋体"/>
                <w:color w:val="auto"/>
                <w:szCs w:val="21"/>
              </w:rPr>
              <w:t>序号</w:t>
            </w:r>
          </w:p>
        </w:tc>
        <w:tc>
          <w:tcPr>
            <w:tcW w:w="2265" w:type="dxa"/>
            <w:vMerge w:val="restart"/>
            <w:noWrap w:val="0"/>
            <w:vAlign w:val="center"/>
          </w:tcPr>
          <w:p>
            <w:pPr>
              <w:tabs>
                <w:tab w:val="left" w:pos="851"/>
              </w:tabs>
              <w:jc w:val="center"/>
              <w:rPr>
                <w:color w:val="auto"/>
                <w:szCs w:val="21"/>
              </w:rPr>
            </w:pPr>
            <w:r>
              <w:rPr>
                <w:rFonts w:hAnsi="宋体"/>
                <w:color w:val="auto"/>
                <w:szCs w:val="21"/>
              </w:rPr>
              <w:t>检定项目</w:t>
            </w:r>
          </w:p>
        </w:tc>
        <w:tc>
          <w:tcPr>
            <w:tcW w:w="6075" w:type="dxa"/>
            <w:gridSpan w:val="3"/>
            <w:noWrap w:val="0"/>
            <w:vAlign w:val="center"/>
          </w:tcPr>
          <w:p>
            <w:pPr>
              <w:tabs>
                <w:tab w:val="left" w:pos="851"/>
              </w:tabs>
              <w:jc w:val="center"/>
              <w:rPr>
                <w:rFonts w:hAnsi="宋体"/>
                <w:color w:val="auto"/>
                <w:szCs w:val="21"/>
              </w:rPr>
            </w:pPr>
            <w:r>
              <w:rPr>
                <w:rFonts w:hAnsi="宋体"/>
                <w:color w:val="auto"/>
                <w:szCs w:val="21"/>
              </w:rPr>
              <w:t>检</w:t>
            </w:r>
            <w:r>
              <w:rPr>
                <w:color w:val="auto"/>
                <w:szCs w:val="21"/>
              </w:rPr>
              <w:t xml:space="preserve">   </w:t>
            </w:r>
            <w:r>
              <w:rPr>
                <w:rFonts w:hAnsi="宋体"/>
                <w:color w:val="auto"/>
                <w:szCs w:val="21"/>
              </w:rPr>
              <w:t>定</w:t>
            </w:r>
            <w:r>
              <w:rPr>
                <w:color w:val="auto"/>
                <w:szCs w:val="21"/>
              </w:rPr>
              <w:t xml:space="preserve">   </w:t>
            </w:r>
            <w:r>
              <w:rPr>
                <w:rFonts w:hAnsi="宋体"/>
                <w:color w:val="auto"/>
                <w:szCs w:val="21"/>
              </w:rPr>
              <w:t>类</w:t>
            </w:r>
            <w:r>
              <w:rPr>
                <w:color w:val="auto"/>
                <w:szCs w:val="21"/>
              </w:rPr>
              <w:t xml:space="preserve">   </w:t>
            </w:r>
            <w:r>
              <w:rPr>
                <w:rFonts w:hAnsi="宋体"/>
                <w:color w:val="auto"/>
                <w:szCs w:val="21"/>
              </w:rPr>
              <w:t>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3" w:hRule="atLeast"/>
        </w:trPr>
        <w:tc>
          <w:tcPr>
            <w:tcW w:w="720" w:type="dxa"/>
            <w:vMerge w:val="continue"/>
            <w:noWrap w:val="0"/>
            <w:vAlign w:val="center"/>
          </w:tcPr>
          <w:p>
            <w:pPr>
              <w:tabs>
                <w:tab w:val="left" w:pos="851"/>
              </w:tabs>
              <w:jc w:val="center"/>
              <w:rPr>
                <w:color w:val="auto"/>
                <w:szCs w:val="21"/>
              </w:rPr>
            </w:pPr>
          </w:p>
        </w:tc>
        <w:tc>
          <w:tcPr>
            <w:tcW w:w="2265" w:type="dxa"/>
            <w:vMerge w:val="continue"/>
            <w:noWrap w:val="0"/>
            <w:vAlign w:val="center"/>
          </w:tcPr>
          <w:p>
            <w:pPr>
              <w:tabs>
                <w:tab w:val="left" w:pos="851"/>
              </w:tabs>
              <w:jc w:val="center"/>
              <w:rPr>
                <w:color w:val="auto"/>
                <w:szCs w:val="21"/>
              </w:rPr>
            </w:pPr>
          </w:p>
        </w:tc>
        <w:tc>
          <w:tcPr>
            <w:tcW w:w="2025" w:type="dxa"/>
            <w:noWrap w:val="0"/>
            <w:vAlign w:val="center"/>
          </w:tcPr>
          <w:p>
            <w:pPr>
              <w:jc w:val="center"/>
              <w:rPr>
                <w:rFonts w:ascii="宋体" w:hAnsi="宋体"/>
                <w:color w:val="auto"/>
                <w:highlight w:val="yellow"/>
              </w:rPr>
            </w:pPr>
            <w:r>
              <w:rPr>
                <w:rFonts w:hAnsi="宋体"/>
                <w:color w:val="auto"/>
                <w:szCs w:val="21"/>
              </w:rPr>
              <w:t>首次检定</w:t>
            </w:r>
          </w:p>
        </w:tc>
        <w:tc>
          <w:tcPr>
            <w:tcW w:w="2025" w:type="dxa"/>
            <w:noWrap w:val="0"/>
            <w:vAlign w:val="center"/>
          </w:tcPr>
          <w:p>
            <w:pPr>
              <w:jc w:val="center"/>
              <w:rPr>
                <w:rFonts w:hint="eastAsia"/>
                <w:color w:val="auto"/>
                <w:szCs w:val="21"/>
              </w:rPr>
            </w:pPr>
            <w:r>
              <w:rPr>
                <w:rFonts w:hint="eastAsia"/>
                <w:color w:val="auto"/>
                <w:szCs w:val="21"/>
              </w:rPr>
              <w:t>后续检定</w:t>
            </w:r>
          </w:p>
        </w:tc>
        <w:tc>
          <w:tcPr>
            <w:tcW w:w="2025" w:type="dxa"/>
            <w:noWrap w:val="0"/>
            <w:vAlign w:val="center"/>
          </w:tcPr>
          <w:p>
            <w:pPr>
              <w:jc w:val="center"/>
              <w:rPr>
                <w:rFonts w:hAnsi="宋体"/>
                <w:color w:val="auto"/>
                <w:szCs w:val="21"/>
              </w:rPr>
            </w:pPr>
            <w:r>
              <w:rPr>
                <w:rFonts w:hAnsi="宋体"/>
                <w:color w:val="auto"/>
                <w:szCs w:val="21"/>
              </w:rPr>
              <w:t>使用中检</w:t>
            </w:r>
            <w:r>
              <w:rPr>
                <w:rFonts w:hint="eastAsia" w:hAnsi="宋体"/>
                <w:color w:val="auto"/>
                <w:szCs w:val="21"/>
              </w:rPr>
              <w:t>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720" w:type="dxa"/>
            <w:noWrap w:val="0"/>
            <w:vAlign w:val="center"/>
          </w:tcPr>
          <w:p>
            <w:pPr>
              <w:jc w:val="center"/>
              <w:rPr>
                <w:color w:val="auto"/>
                <w:szCs w:val="21"/>
              </w:rPr>
            </w:pPr>
            <w:r>
              <w:rPr>
                <w:color w:val="auto"/>
                <w:szCs w:val="21"/>
              </w:rPr>
              <w:t>1</w:t>
            </w:r>
          </w:p>
        </w:tc>
        <w:tc>
          <w:tcPr>
            <w:tcW w:w="2265" w:type="dxa"/>
            <w:noWrap w:val="0"/>
            <w:vAlign w:val="center"/>
          </w:tcPr>
          <w:p>
            <w:pPr>
              <w:jc w:val="center"/>
              <w:rPr>
                <w:rFonts w:hint="eastAsia"/>
                <w:color w:val="auto"/>
                <w:szCs w:val="21"/>
              </w:rPr>
            </w:pPr>
            <w:r>
              <w:rPr>
                <w:rFonts w:hAnsi="宋体"/>
                <w:color w:val="auto"/>
                <w:szCs w:val="21"/>
              </w:rPr>
              <w:t>外观</w:t>
            </w:r>
            <w:r>
              <w:rPr>
                <w:rFonts w:hint="eastAsia" w:hAnsi="宋体"/>
                <w:color w:val="auto"/>
                <w:szCs w:val="21"/>
              </w:rPr>
              <w:t>及标识</w:t>
            </w:r>
          </w:p>
        </w:tc>
        <w:tc>
          <w:tcPr>
            <w:tcW w:w="2025" w:type="dxa"/>
            <w:noWrap w:val="0"/>
            <w:vAlign w:val="center"/>
          </w:tcPr>
          <w:p>
            <w:pPr>
              <w:jc w:val="center"/>
              <w:rPr>
                <w:color w:val="auto"/>
                <w:szCs w:val="21"/>
              </w:rPr>
            </w:pPr>
            <w:r>
              <w:rPr>
                <w:color w:val="auto"/>
                <w:szCs w:val="21"/>
              </w:rPr>
              <w:t>+</w:t>
            </w:r>
          </w:p>
        </w:tc>
        <w:tc>
          <w:tcPr>
            <w:tcW w:w="2025" w:type="dxa"/>
            <w:noWrap w:val="0"/>
            <w:vAlign w:val="center"/>
          </w:tcPr>
          <w:p>
            <w:pPr>
              <w:jc w:val="center"/>
              <w:rPr>
                <w:color w:val="auto"/>
                <w:szCs w:val="21"/>
              </w:rPr>
            </w:pPr>
            <w:r>
              <w:rPr>
                <w:color w:val="auto"/>
                <w:szCs w:val="21"/>
              </w:rPr>
              <w:t>+</w:t>
            </w:r>
          </w:p>
        </w:tc>
        <w:tc>
          <w:tcPr>
            <w:tcW w:w="2025" w:type="dxa"/>
            <w:noWrap w:val="0"/>
            <w:vAlign w:val="center"/>
          </w:tcPr>
          <w:p>
            <w:pPr>
              <w:jc w:val="center"/>
              <w:rPr>
                <w:color w:val="auto"/>
                <w:szCs w:val="21"/>
              </w:rPr>
            </w:pPr>
            <w:r>
              <w:rPr>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720" w:type="dxa"/>
            <w:noWrap w:val="0"/>
            <w:vAlign w:val="center"/>
          </w:tcPr>
          <w:p>
            <w:pPr>
              <w:jc w:val="center"/>
              <w:rPr>
                <w:color w:val="auto"/>
                <w:szCs w:val="21"/>
              </w:rPr>
            </w:pPr>
            <w:r>
              <w:rPr>
                <w:color w:val="auto"/>
                <w:szCs w:val="21"/>
              </w:rPr>
              <w:t>2</w:t>
            </w:r>
          </w:p>
        </w:tc>
        <w:tc>
          <w:tcPr>
            <w:tcW w:w="2265" w:type="dxa"/>
            <w:noWrap w:val="0"/>
            <w:vAlign w:val="center"/>
          </w:tcPr>
          <w:p>
            <w:pPr>
              <w:jc w:val="center"/>
              <w:rPr>
                <w:rFonts w:hint="eastAsia" w:hAnsi="宋体"/>
                <w:color w:val="auto"/>
                <w:szCs w:val="21"/>
              </w:rPr>
            </w:pPr>
            <w:r>
              <w:rPr>
                <w:rFonts w:hAnsi="宋体"/>
                <w:color w:val="auto"/>
                <w:szCs w:val="21"/>
              </w:rPr>
              <w:t>密封性</w:t>
            </w:r>
          </w:p>
        </w:tc>
        <w:tc>
          <w:tcPr>
            <w:tcW w:w="2025" w:type="dxa"/>
            <w:noWrap w:val="0"/>
            <w:vAlign w:val="center"/>
          </w:tcPr>
          <w:p>
            <w:pPr>
              <w:jc w:val="center"/>
              <w:rPr>
                <w:rFonts w:ascii="宋体" w:hAnsi="宋体"/>
                <w:color w:val="auto"/>
                <w:highlight w:val="yellow"/>
              </w:rPr>
            </w:pPr>
            <w:r>
              <w:rPr>
                <w:color w:val="auto"/>
                <w:szCs w:val="21"/>
              </w:rPr>
              <w:t>+</w:t>
            </w:r>
          </w:p>
        </w:tc>
        <w:tc>
          <w:tcPr>
            <w:tcW w:w="2025" w:type="dxa"/>
            <w:noWrap w:val="0"/>
            <w:vAlign w:val="center"/>
          </w:tcPr>
          <w:p>
            <w:pPr>
              <w:jc w:val="center"/>
              <w:rPr>
                <w:rFonts w:hint="eastAsia"/>
                <w:color w:val="auto"/>
                <w:szCs w:val="21"/>
              </w:rPr>
            </w:pPr>
            <w:r>
              <w:rPr>
                <w:color w:val="auto"/>
                <w:szCs w:val="21"/>
              </w:rPr>
              <w:t>+</w:t>
            </w:r>
          </w:p>
        </w:tc>
        <w:tc>
          <w:tcPr>
            <w:tcW w:w="2025" w:type="dxa"/>
            <w:noWrap w:val="0"/>
            <w:vAlign w:val="center"/>
          </w:tcPr>
          <w:p>
            <w:pPr>
              <w:jc w:val="center"/>
              <w:rPr>
                <w:color w:val="auto"/>
                <w:szCs w:val="21"/>
              </w:rPr>
            </w:pPr>
            <w:r>
              <w:rPr>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trPr>
        <w:tc>
          <w:tcPr>
            <w:tcW w:w="720" w:type="dxa"/>
            <w:noWrap w:val="0"/>
            <w:vAlign w:val="center"/>
          </w:tcPr>
          <w:p>
            <w:pPr>
              <w:jc w:val="center"/>
              <w:rPr>
                <w:rFonts w:hint="eastAsia"/>
                <w:color w:val="auto"/>
                <w:szCs w:val="21"/>
              </w:rPr>
            </w:pPr>
            <w:r>
              <w:rPr>
                <w:rFonts w:hint="eastAsia"/>
                <w:color w:val="auto"/>
                <w:szCs w:val="21"/>
              </w:rPr>
              <w:t>3</w:t>
            </w:r>
          </w:p>
        </w:tc>
        <w:tc>
          <w:tcPr>
            <w:tcW w:w="2265" w:type="dxa"/>
            <w:noWrap w:val="0"/>
            <w:vAlign w:val="center"/>
          </w:tcPr>
          <w:p>
            <w:pPr>
              <w:jc w:val="center"/>
              <w:rPr>
                <w:color w:val="auto"/>
                <w:szCs w:val="21"/>
              </w:rPr>
            </w:pPr>
            <w:r>
              <w:rPr>
                <w:rFonts w:hint="eastAsia" w:ascii="宋体"/>
                <w:color w:val="auto"/>
              </w:rPr>
              <w:t>压力损失</w:t>
            </w:r>
          </w:p>
        </w:tc>
        <w:tc>
          <w:tcPr>
            <w:tcW w:w="2025" w:type="dxa"/>
            <w:noWrap w:val="0"/>
            <w:vAlign w:val="center"/>
          </w:tcPr>
          <w:p>
            <w:pPr>
              <w:jc w:val="center"/>
              <w:rPr>
                <w:rFonts w:hint="eastAsia" w:ascii="宋体" w:hAnsi="宋体"/>
                <w:color w:val="auto"/>
                <w:highlight w:val="yellow"/>
              </w:rPr>
            </w:pPr>
            <w:r>
              <w:rPr>
                <w:color w:val="auto"/>
                <w:szCs w:val="21"/>
              </w:rPr>
              <w:t>+</w:t>
            </w:r>
          </w:p>
        </w:tc>
        <w:tc>
          <w:tcPr>
            <w:tcW w:w="2025" w:type="dxa"/>
            <w:noWrap w:val="0"/>
            <w:vAlign w:val="center"/>
          </w:tcPr>
          <w:p>
            <w:pPr>
              <w:jc w:val="center"/>
              <w:rPr>
                <w:rFonts w:hint="eastAsia"/>
                <w:b/>
                <w:color w:val="auto"/>
                <w:szCs w:val="21"/>
              </w:rPr>
            </w:pPr>
            <w:r>
              <w:rPr>
                <w:rFonts w:hint="eastAsia"/>
                <w:color w:val="auto"/>
                <w:szCs w:val="21"/>
              </w:rPr>
              <w:t>-</w:t>
            </w:r>
          </w:p>
        </w:tc>
        <w:tc>
          <w:tcPr>
            <w:tcW w:w="2025" w:type="dxa"/>
            <w:noWrap w:val="0"/>
            <w:vAlign w:val="center"/>
          </w:tcPr>
          <w:p>
            <w:pPr>
              <w:jc w:val="center"/>
              <w:rPr>
                <w:rFonts w:hint="eastAsia"/>
                <w:color w:val="auto"/>
                <w:szCs w:val="21"/>
              </w:rPr>
            </w:pPr>
            <w:r>
              <w:rPr>
                <w:rFonts w:hint="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720" w:type="dxa"/>
            <w:noWrap w:val="0"/>
            <w:vAlign w:val="center"/>
          </w:tcPr>
          <w:p>
            <w:pPr>
              <w:jc w:val="center"/>
              <w:rPr>
                <w:rFonts w:hint="eastAsia"/>
                <w:color w:val="auto"/>
                <w:szCs w:val="21"/>
              </w:rPr>
            </w:pPr>
            <w:r>
              <w:rPr>
                <w:rFonts w:hint="eastAsia"/>
                <w:color w:val="auto"/>
                <w:szCs w:val="21"/>
              </w:rPr>
              <w:t>4</w:t>
            </w:r>
          </w:p>
        </w:tc>
        <w:tc>
          <w:tcPr>
            <w:tcW w:w="2265" w:type="dxa"/>
            <w:noWrap w:val="0"/>
            <w:vAlign w:val="center"/>
          </w:tcPr>
          <w:p>
            <w:pPr>
              <w:jc w:val="center"/>
              <w:rPr>
                <w:color w:val="auto"/>
                <w:szCs w:val="21"/>
              </w:rPr>
            </w:pPr>
            <w:r>
              <w:rPr>
                <w:rFonts w:hAnsi="宋体"/>
                <w:bCs/>
                <w:color w:val="auto"/>
                <w:szCs w:val="21"/>
              </w:rPr>
              <w:t>示值误差</w:t>
            </w:r>
          </w:p>
        </w:tc>
        <w:tc>
          <w:tcPr>
            <w:tcW w:w="2025" w:type="dxa"/>
            <w:noWrap w:val="0"/>
            <w:vAlign w:val="center"/>
          </w:tcPr>
          <w:p>
            <w:pPr>
              <w:jc w:val="center"/>
              <w:rPr>
                <w:rFonts w:ascii="宋体" w:hAnsi="宋体"/>
                <w:color w:val="auto"/>
                <w:highlight w:val="yellow"/>
              </w:rPr>
            </w:pPr>
            <w:r>
              <w:rPr>
                <w:color w:val="auto"/>
                <w:szCs w:val="21"/>
              </w:rPr>
              <w:t>+</w:t>
            </w:r>
          </w:p>
        </w:tc>
        <w:tc>
          <w:tcPr>
            <w:tcW w:w="2025" w:type="dxa"/>
            <w:noWrap w:val="0"/>
            <w:vAlign w:val="center"/>
          </w:tcPr>
          <w:p>
            <w:pPr>
              <w:jc w:val="center"/>
              <w:rPr>
                <w:color w:val="auto"/>
                <w:szCs w:val="21"/>
              </w:rPr>
            </w:pPr>
            <w:r>
              <w:rPr>
                <w:color w:val="auto"/>
                <w:szCs w:val="21"/>
              </w:rPr>
              <w:t>+</w:t>
            </w:r>
          </w:p>
        </w:tc>
        <w:tc>
          <w:tcPr>
            <w:tcW w:w="2025" w:type="dxa"/>
            <w:noWrap w:val="0"/>
            <w:vAlign w:val="center"/>
          </w:tcPr>
          <w:p>
            <w:pPr>
              <w:jc w:val="center"/>
              <w:rPr>
                <w:color w:val="auto"/>
                <w:szCs w:val="21"/>
              </w:rPr>
            </w:pPr>
            <w:r>
              <w:rPr>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720" w:type="dxa"/>
            <w:noWrap w:val="0"/>
            <w:vAlign w:val="center"/>
          </w:tcPr>
          <w:p>
            <w:pPr>
              <w:jc w:val="center"/>
              <w:rPr>
                <w:rFonts w:hint="eastAsia"/>
                <w:color w:val="auto"/>
                <w:szCs w:val="21"/>
              </w:rPr>
            </w:pPr>
            <w:r>
              <w:rPr>
                <w:rFonts w:hint="eastAsia"/>
                <w:color w:val="auto"/>
                <w:szCs w:val="21"/>
              </w:rPr>
              <w:t>5</w:t>
            </w:r>
          </w:p>
        </w:tc>
        <w:tc>
          <w:tcPr>
            <w:tcW w:w="2265" w:type="dxa"/>
            <w:noWrap w:val="0"/>
            <w:vAlign w:val="center"/>
          </w:tcPr>
          <w:p>
            <w:pPr>
              <w:jc w:val="center"/>
              <w:rPr>
                <w:rFonts w:hint="eastAsia" w:hAnsi="宋体"/>
                <w:bCs/>
                <w:color w:val="auto"/>
                <w:szCs w:val="21"/>
              </w:rPr>
            </w:pPr>
            <w:r>
              <w:rPr>
                <w:rFonts w:hint="eastAsia" w:hAnsi="宋体"/>
                <w:bCs/>
                <w:color w:val="auto"/>
                <w:szCs w:val="21"/>
              </w:rPr>
              <w:t>提示功能</w:t>
            </w:r>
          </w:p>
        </w:tc>
        <w:tc>
          <w:tcPr>
            <w:tcW w:w="2025" w:type="dxa"/>
            <w:noWrap w:val="0"/>
            <w:vAlign w:val="center"/>
          </w:tcPr>
          <w:p>
            <w:pPr>
              <w:jc w:val="center"/>
              <w:rPr>
                <w:rFonts w:hint="eastAsia"/>
                <w:color w:val="auto"/>
                <w:szCs w:val="21"/>
              </w:rPr>
            </w:pPr>
            <w:r>
              <w:rPr>
                <w:rFonts w:hint="eastAsia"/>
                <w:color w:val="auto"/>
                <w:szCs w:val="21"/>
              </w:rPr>
              <w:t>+</w:t>
            </w:r>
          </w:p>
        </w:tc>
        <w:tc>
          <w:tcPr>
            <w:tcW w:w="2025" w:type="dxa"/>
            <w:noWrap w:val="0"/>
            <w:vAlign w:val="center"/>
          </w:tcPr>
          <w:p>
            <w:pPr>
              <w:jc w:val="center"/>
              <w:rPr>
                <w:rFonts w:hint="eastAsia"/>
                <w:color w:val="auto"/>
                <w:szCs w:val="21"/>
              </w:rPr>
            </w:pPr>
            <w:r>
              <w:rPr>
                <w:color w:val="auto"/>
                <w:szCs w:val="21"/>
              </w:rPr>
              <w:t>+</w:t>
            </w:r>
          </w:p>
        </w:tc>
        <w:tc>
          <w:tcPr>
            <w:tcW w:w="2025" w:type="dxa"/>
            <w:noWrap w:val="0"/>
            <w:vAlign w:val="center"/>
          </w:tcPr>
          <w:p>
            <w:pPr>
              <w:jc w:val="center"/>
              <w:rPr>
                <w:rFonts w:hint="eastAsia"/>
                <w:color w:val="auto"/>
                <w:szCs w:val="21"/>
              </w:rPr>
            </w:pPr>
            <w:r>
              <w:rPr>
                <w:rFonts w:hint="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trPr>
        <w:tc>
          <w:tcPr>
            <w:tcW w:w="720" w:type="dxa"/>
            <w:noWrap w:val="0"/>
            <w:vAlign w:val="center"/>
          </w:tcPr>
          <w:p>
            <w:pPr>
              <w:jc w:val="center"/>
              <w:rPr>
                <w:rFonts w:hint="eastAsia"/>
                <w:color w:val="auto"/>
                <w:szCs w:val="21"/>
              </w:rPr>
            </w:pPr>
            <w:r>
              <w:rPr>
                <w:rFonts w:hint="eastAsia"/>
                <w:color w:val="auto"/>
                <w:szCs w:val="21"/>
              </w:rPr>
              <w:t>6</w:t>
            </w:r>
          </w:p>
        </w:tc>
        <w:tc>
          <w:tcPr>
            <w:tcW w:w="2265" w:type="dxa"/>
            <w:noWrap w:val="0"/>
            <w:vAlign w:val="center"/>
          </w:tcPr>
          <w:p>
            <w:pPr>
              <w:jc w:val="center"/>
              <w:rPr>
                <w:rFonts w:hint="eastAsia" w:hAnsi="宋体"/>
                <w:bCs/>
                <w:color w:val="auto"/>
                <w:szCs w:val="21"/>
              </w:rPr>
            </w:pPr>
            <w:r>
              <w:rPr>
                <w:rFonts w:hint="eastAsia" w:hAnsi="宋体"/>
                <w:bCs/>
                <w:color w:val="auto"/>
                <w:szCs w:val="21"/>
              </w:rPr>
              <w:t>附加功能检测</w:t>
            </w:r>
          </w:p>
        </w:tc>
        <w:tc>
          <w:tcPr>
            <w:tcW w:w="2025" w:type="dxa"/>
            <w:noWrap w:val="0"/>
            <w:vAlign w:val="center"/>
          </w:tcPr>
          <w:p>
            <w:pPr>
              <w:jc w:val="center"/>
              <w:rPr>
                <w:rFonts w:ascii="宋体" w:hAnsi="宋体"/>
                <w:color w:val="auto"/>
                <w:highlight w:val="yellow"/>
              </w:rPr>
            </w:pPr>
            <w:r>
              <w:rPr>
                <w:rFonts w:hint="eastAsia"/>
                <w:color w:val="auto"/>
                <w:szCs w:val="21"/>
              </w:rPr>
              <w:t>+</w:t>
            </w:r>
          </w:p>
        </w:tc>
        <w:tc>
          <w:tcPr>
            <w:tcW w:w="2025" w:type="dxa"/>
            <w:noWrap w:val="0"/>
            <w:vAlign w:val="center"/>
          </w:tcPr>
          <w:p>
            <w:pPr>
              <w:jc w:val="center"/>
              <w:rPr>
                <w:rFonts w:hint="eastAsia"/>
                <w:color w:val="auto"/>
                <w:szCs w:val="21"/>
              </w:rPr>
            </w:pPr>
            <w:r>
              <w:rPr>
                <w:color w:val="auto"/>
                <w:szCs w:val="21"/>
              </w:rPr>
              <w:t>+</w:t>
            </w:r>
          </w:p>
        </w:tc>
        <w:tc>
          <w:tcPr>
            <w:tcW w:w="2025" w:type="dxa"/>
            <w:noWrap w:val="0"/>
            <w:vAlign w:val="center"/>
          </w:tcPr>
          <w:p>
            <w:pPr>
              <w:jc w:val="center"/>
              <w:rPr>
                <w:rFonts w:hint="eastAsia"/>
                <w:color w:val="auto"/>
                <w:szCs w:val="21"/>
              </w:rPr>
            </w:pPr>
            <w:r>
              <w:rPr>
                <w:rFonts w:hint="eastAsia"/>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60" w:type="dxa"/>
            <w:gridSpan w:val="5"/>
            <w:noWrap w:val="0"/>
            <w:vAlign w:val="center"/>
          </w:tcPr>
          <w:p>
            <w:pPr>
              <w:tabs>
                <w:tab w:val="left" w:pos="851"/>
              </w:tabs>
              <w:rPr>
                <w:color w:val="auto"/>
                <w:szCs w:val="21"/>
              </w:rPr>
            </w:pPr>
            <w:r>
              <w:rPr>
                <w:rFonts w:hAnsi="宋体"/>
                <w:color w:val="auto"/>
                <w:szCs w:val="21"/>
              </w:rPr>
              <w:t>注：</w:t>
            </w:r>
          </w:p>
          <w:p>
            <w:pPr>
              <w:tabs>
                <w:tab w:val="left" w:pos="426"/>
              </w:tabs>
              <w:ind w:firstLine="315" w:firstLineChars="150"/>
              <w:rPr>
                <w:rFonts w:hint="eastAsia"/>
                <w:color w:val="auto"/>
                <w:szCs w:val="21"/>
              </w:rPr>
            </w:pPr>
            <w:r>
              <w:rPr>
                <w:color w:val="auto"/>
                <w:szCs w:val="21"/>
              </w:rPr>
              <w:t xml:space="preserve">1 </w:t>
            </w:r>
            <w:r>
              <w:rPr>
                <w:rFonts w:hint="eastAsia"/>
                <w:color w:val="auto"/>
                <w:szCs w:val="21"/>
              </w:rPr>
              <w:t>“</w:t>
            </w:r>
            <w:r>
              <w:rPr>
                <w:color w:val="auto"/>
                <w:szCs w:val="21"/>
              </w:rPr>
              <w:t>+</w:t>
            </w:r>
            <w:r>
              <w:rPr>
                <w:rFonts w:hint="eastAsia"/>
                <w:color w:val="auto"/>
                <w:szCs w:val="21"/>
              </w:rPr>
              <w:t>”</w:t>
            </w:r>
            <w:r>
              <w:rPr>
                <w:rFonts w:hAnsi="宋体"/>
                <w:color w:val="auto"/>
                <w:szCs w:val="21"/>
              </w:rPr>
              <w:t>表示需检定</w:t>
            </w:r>
            <w:r>
              <w:rPr>
                <w:rFonts w:hint="eastAsia" w:hAnsi="宋体"/>
                <w:color w:val="auto"/>
                <w:szCs w:val="21"/>
              </w:rPr>
              <w:t>，“-”表示不需检定；</w:t>
            </w:r>
          </w:p>
          <w:p>
            <w:pPr>
              <w:tabs>
                <w:tab w:val="left" w:pos="426"/>
              </w:tabs>
              <w:ind w:firstLine="315" w:firstLineChars="150"/>
              <w:rPr>
                <w:rFonts w:hint="eastAsia"/>
                <w:color w:val="auto"/>
                <w:szCs w:val="21"/>
              </w:rPr>
            </w:pPr>
            <w:r>
              <w:rPr>
                <w:rFonts w:hint="eastAsia"/>
                <w:color w:val="auto"/>
                <w:szCs w:val="21"/>
              </w:rPr>
              <w:t>2</w:t>
            </w:r>
            <w:r>
              <w:rPr>
                <w:color w:val="auto"/>
                <w:szCs w:val="21"/>
              </w:rPr>
              <w:t xml:space="preserve"> </w:t>
            </w:r>
            <w:r>
              <w:rPr>
                <w:rFonts w:hAnsi="宋体"/>
                <w:color w:val="auto"/>
                <w:szCs w:val="21"/>
              </w:rPr>
              <w:t>使用中检</w:t>
            </w:r>
            <w:r>
              <w:rPr>
                <w:rFonts w:hint="eastAsia" w:hAnsi="宋体"/>
                <w:color w:val="auto"/>
                <w:szCs w:val="21"/>
              </w:rPr>
              <w:t>查</w:t>
            </w:r>
            <w:r>
              <w:rPr>
                <w:rFonts w:hAnsi="宋体"/>
                <w:color w:val="auto"/>
                <w:szCs w:val="21"/>
              </w:rPr>
              <w:t>的目的是为了检查燃气表的检定标记或检定证书是否有效，保护标记是否损坏，检定后的燃气表状态是否受到明显变动，及其示值误差是否超过使用中检查的最大允许误差。</w:t>
            </w:r>
          </w:p>
        </w:tc>
      </w:tr>
    </w:tbl>
    <w:p>
      <w:pPr>
        <w:pStyle w:val="4"/>
        <w:keepLines w:val="0"/>
        <w:widowControl/>
        <w:numPr>
          <w:ilvl w:val="0"/>
          <w:numId w:val="3"/>
        </w:numPr>
        <w:spacing w:before="0" w:after="0" w:line="312" w:lineRule="auto"/>
        <w:jc w:val="left"/>
        <w:rPr>
          <w:b w:val="0"/>
          <w:color w:val="auto"/>
          <w:sz w:val="24"/>
          <w:szCs w:val="24"/>
        </w:rPr>
      </w:pPr>
      <w:bookmarkStart w:id="199" w:name="_Toc301019391"/>
      <w:bookmarkStart w:id="200" w:name="_Toc468349719"/>
      <w:bookmarkStart w:id="201" w:name="_Toc327459481"/>
      <w:bookmarkStart w:id="202" w:name="_Toc301019285"/>
      <w:bookmarkStart w:id="203" w:name="_Toc301019323"/>
      <w:bookmarkStart w:id="204" w:name="_Toc295726487"/>
      <w:r>
        <w:rPr>
          <w:rFonts w:hAnsi="宋体"/>
          <w:b w:val="0"/>
          <w:color w:val="auto"/>
          <w:sz w:val="24"/>
          <w:szCs w:val="24"/>
        </w:rPr>
        <w:t>检定方法</w:t>
      </w:r>
      <w:bookmarkEnd w:id="199"/>
      <w:bookmarkEnd w:id="200"/>
      <w:bookmarkEnd w:id="201"/>
      <w:bookmarkEnd w:id="202"/>
      <w:bookmarkEnd w:id="203"/>
      <w:bookmarkEnd w:id="204"/>
    </w:p>
    <w:p>
      <w:pPr>
        <w:widowControl/>
        <w:numPr>
          <w:ilvl w:val="1"/>
          <w:numId w:val="8"/>
        </w:numPr>
        <w:spacing w:line="312" w:lineRule="auto"/>
        <w:jc w:val="left"/>
        <w:rPr>
          <w:color w:val="auto"/>
          <w:sz w:val="24"/>
        </w:rPr>
      </w:pPr>
      <w:r>
        <w:rPr>
          <w:rFonts w:hAnsi="宋体"/>
          <w:bCs/>
          <w:color w:val="auto"/>
          <w:sz w:val="24"/>
        </w:rPr>
        <w:t>外观</w:t>
      </w:r>
    </w:p>
    <w:p>
      <w:pPr>
        <w:spacing w:line="312" w:lineRule="auto"/>
        <w:ind w:firstLine="480" w:firstLineChars="200"/>
        <w:rPr>
          <w:rFonts w:hint="eastAsia" w:hAnsi="宋体"/>
          <w:color w:val="auto"/>
          <w:sz w:val="24"/>
        </w:rPr>
      </w:pPr>
      <w:r>
        <w:rPr>
          <w:rFonts w:hAnsi="宋体"/>
          <w:color w:val="auto"/>
          <w:sz w:val="24"/>
        </w:rPr>
        <w:t>常规检查燃气表的外观</w:t>
      </w:r>
      <w:r>
        <w:rPr>
          <w:rFonts w:hint="eastAsia" w:hAnsi="宋体"/>
          <w:color w:val="auto"/>
          <w:sz w:val="24"/>
        </w:rPr>
        <w:t>、封印、指示装置</w:t>
      </w:r>
      <w:r>
        <w:rPr>
          <w:rFonts w:hAnsi="宋体"/>
          <w:color w:val="auto"/>
          <w:sz w:val="24"/>
        </w:rPr>
        <w:t>，应符合本规程</w:t>
      </w:r>
      <w:r>
        <w:rPr>
          <w:color w:val="auto"/>
          <w:sz w:val="24"/>
        </w:rPr>
        <w:t>6.1</w:t>
      </w:r>
      <w:r>
        <w:rPr>
          <w:rFonts w:hint="eastAsia"/>
          <w:color w:val="auto"/>
          <w:sz w:val="24"/>
        </w:rPr>
        <w:t>、</w:t>
      </w:r>
      <w:r>
        <w:rPr>
          <w:color w:val="auto"/>
          <w:sz w:val="24"/>
        </w:rPr>
        <w:t>6.2</w:t>
      </w:r>
      <w:r>
        <w:rPr>
          <w:rFonts w:hint="eastAsia"/>
          <w:color w:val="auto"/>
          <w:sz w:val="24"/>
        </w:rPr>
        <w:t>、6.3和6.4</w:t>
      </w:r>
      <w:r>
        <w:rPr>
          <w:rFonts w:hAnsi="宋体"/>
          <w:color w:val="auto"/>
          <w:sz w:val="24"/>
        </w:rPr>
        <w:t>条的要求。</w:t>
      </w:r>
    </w:p>
    <w:p>
      <w:pPr>
        <w:widowControl/>
        <w:numPr>
          <w:ilvl w:val="1"/>
          <w:numId w:val="8"/>
        </w:numPr>
        <w:spacing w:line="312" w:lineRule="auto"/>
        <w:jc w:val="left"/>
        <w:rPr>
          <w:bCs/>
          <w:color w:val="auto"/>
          <w:sz w:val="24"/>
        </w:rPr>
      </w:pPr>
      <w:r>
        <w:rPr>
          <w:rFonts w:hAnsi="宋体"/>
          <w:bCs/>
          <w:color w:val="auto"/>
          <w:sz w:val="24"/>
        </w:rPr>
        <w:t>密封性</w:t>
      </w:r>
    </w:p>
    <w:p>
      <w:pPr>
        <w:spacing w:line="312" w:lineRule="auto"/>
        <w:ind w:firstLine="424" w:firstLineChars="177"/>
        <w:rPr>
          <w:rFonts w:hint="eastAsia" w:hAnsi="宋体"/>
          <w:color w:val="auto"/>
          <w:sz w:val="24"/>
        </w:rPr>
      </w:pPr>
      <w:r>
        <w:rPr>
          <w:rFonts w:hAnsi="宋体"/>
          <w:color w:val="auto"/>
          <w:sz w:val="24"/>
        </w:rPr>
        <w:t>密封性试验可采用如图</w:t>
      </w:r>
      <w:r>
        <w:rPr>
          <w:rFonts w:hint="eastAsia" w:hAnsi="宋体"/>
          <w:color w:val="auto"/>
          <w:sz w:val="24"/>
        </w:rPr>
        <w:t>3</w:t>
      </w:r>
      <w:r>
        <w:rPr>
          <w:rFonts w:hAnsi="宋体"/>
          <w:color w:val="auto"/>
          <w:sz w:val="24"/>
        </w:rPr>
        <w:t>所示或采用其它等效的试验方法。输入</w:t>
      </w:r>
      <w:r>
        <w:rPr>
          <w:color w:val="auto"/>
          <w:sz w:val="24"/>
        </w:rPr>
        <w:t>1.5</w:t>
      </w:r>
      <w:r>
        <w:rPr>
          <w:rFonts w:hAnsi="宋体"/>
          <w:color w:val="auto"/>
          <w:sz w:val="24"/>
        </w:rPr>
        <w:t>倍最大工作压力，持续时间不少于</w:t>
      </w:r>
      <w:r>
        <w:rPr>
          <w:color w:val="auto"/>
          <w:sz w:val="24"/>
        </w:rPr>
        <w:t>3min</w:t>
      </w:r>
      <w:r>
        <w:rPr>
          <w:rFonts w:hAnsi="宋体"/>
          <w:color w:val="auto"/>
          <w:sz w:val="24"/>
        </w:rPr>
        <w:t>，燃气表不得漏气。</w:t>
      </w:r>
    </w:p>
    <w:p>
      <w:pPr>
        <w:spacing w:line="312" w:lineRule="auto"/>
        <w:ind w:firstLine="424" w:firstLineChars="177"/>
        <w:rPr>
          <w:rFonts w:hint="eastAsia" w:hAnsi="宋体"/>
          <w:color w:val="auto"/>
          <w:sz w:val="24"/>
        </w:rPr>
      </w:pPr>
    </w:p>
    <w:p>
      <w:pPr>
        <w:spacing w:line="312" w:lineRule="auto"/>
        <w:ind w:firstLine="424" w:firstLineChars="177"/>
        <w:jc w:val="center"/>
        <w:rPr>
          <w:rFonts w:hint="eastAsia"/>
          <w:color w:val="auto"/>
          <w:sz w:val="24"/>
        </w:rPr>
      </w:pPr>
      <w:r>
        <w:rPr>
          <w:color w:val="auto"/>
          <w:sz w:val="24"/>
        </w:rPr>
        <w:drawing>
          <wp:inline distT="0" distB="0" distL="114300" distR="114300">
            <wp:extent cx="3293745" cy="1238250"/>
            <wp:effectExtent l="0" t="0" r="1905" b="0"/>
            <wp:docPr id="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4"/>
                    <pic:cNvPicPr>
                      <a:picLocks noChangeAspect="1"/>
                    </pic:cNvPicPr>
                  </pic:nvPicPr>
                  <pic:blipFill>
                    <a:blip r:embed="rId44"/>
                    <a:stretch>
                      <a:fillRect/>
                    </a:stretch>
                  </pic:blipFill>
                  <pic:spPr>
                    <a:xfrm>
                      <a:off x="0" y="0"/>
                      <a:ext cx="3293745" cy="1238250"/>
                    </a:xfrm>
                    <a:prstGeom prst="rect">
                      <a:avLst/>
                    </a:prstGeom>
                    <a:noFill/>
                    <a:ln w="9525">
                      <a:noFill/>
                    </a:ln>
                  </pic:spPr>
                </pic:pic>
              </a:graphicData>
            </a:graphic>
          </wp:inline>
        </w:drawing>
      </w:r>
    </w:p>
    <w:p>
      <w:pPr>
        <w:spacing w:line="312" w:lineRule="auto"/>
        <w:ind w:firstLine="424" w:firstLineChars="177"/>
        <w:jc w:val="center"/>
        <w:rPr>
          <w:color w:val="auto"/>
          <w:sz w:val="24"/>
        </w:rPr>
      </w:pPr>
    </w:p>
    <w:p>
      <w:pPr>
        <w:spacing w:line="300" w:lineRule="auto"/>
        <w:ind w:firstLine="424" w:firstLineChars="177"/>
        <w:jc w:val="center"/>
        <w:rPr>
          <w:rFonts w:hAnsi="宋体"/>
          <w:color w:val="auto"/>
          <w:sz w:val="24"/>
        </w:rPr>
      </w:pPr>
      <w:r>
        <w:rPr>
          <w:rFonts w:hAnsi="宋体"/>
          <w:color w:val="auto"/>
          <w:sz w:val="24"/>
        </w:rPr>
        <w:t>图</w:t>
      </w:r>
      <w:r>
        <w:rPr>
          <w:rFonts w:hint="eastAsia"/>
          <w:color w:val="auto"/>
          <w:sz w:val="24"/>
        </w:rPr>
        <w:t xml:space="preserve">3 </w:t>
      </w:r>
      <w:r>
        <w:rPr>
          <w:rFonts w:hAnsi="宋体"/>
          <w:color w:val="auto"/>
          <w:sz w:val="24"/>
        </w:rPr>
        <w:t>密封性试验示意图</w:t>
      </w:r>
    </w:p>
    <w:p>
      <w:pPr>
        <w:widowControl/>
        <w:numPr>
          <w:ilvl w:val="1"/>
          <w:numId w:val="8"/>
        </w:numPr>
        <w:spacing w:line="312" w:lineRule="auto"/>
        <w:jc w:val="left"/>
        <w:rPr>
          <w:rFonts w:hint="eastAsia" w:hAnsi="宋体"/>
          <w:color w:val="auto"/>
          <w:sz w:val="24"/>
        </w:rPr>
      </w:pPr>
      <w:r>
        <w:rPr>
          <w:rFonts w:hint="eastAsia" w:hAnsi="宋体"/>
          <w:color w:val="auto"/>
          <w:sz w:val="24"/>
        </w:rPr>
        <w:t>压力损失</w:t>
      </w:r>
    </w:p>
    <w:p>
      <w:pPr>
        <w:spacing w:line="300" w:lineRule="auto"/>
        <w:ind w:firstLine="424" w:firstLineChars="177"/>
        <w:rPr>
          <w:rFonts w:hint="eastAsia" w:ascii="宋体" w:hAnsi="宋体"/>
          <w:bCs/>
          <w:color w:val="auto"/>
          <w:sz w:val="24"/>
        </w:rPr>
      </w:pPr>
      <w:r>
        <w:rPr>
          <w:rFonts w:hint="eastAsia" w:hAnsi="宋体"/>
          <w:color w:val="auto"/>
          <w:sz w:val="24"/>
        </w:rPr>
        <w:t>压力损失是在最大流量条件下，使用倾斜式微压计或者准确度等级相当的压力计测量燃气表的进气口和出气口之间的压力降，压力测试点与燃气表接口之间的距离不应超出</w:t>
      </w:r>
      <w:r>
        <w:rPr>
          <w:rFonts w:hint="eastAsia" w:ascii="宋体" w:hAnsi="宋体"/>
          <w:bCs/>
          <w:color w:val="auto"/>
          <w:sz w:val="24"/>
        </w:rPr>
        <w:t>接口标称直径的</w:t>
      </w:r>
      <w:r>
        <w:rPr>
          <w:rFonts w:ascii="宋体" w:hAnsi="宋体"/>
          <w:bCs/>
          <w:color w:val="auto"/>
          <w:sz w:val="24"/>
        </w:rPr>
        <w:t xml:space="preserve">3 </w:t>
      </w:r>
      <w:r>
        <w:rPr>
          <w:rFonts w:hint="eastAsia" w:ascii="宋体" w:hAnsi="宋体"/>
          <w:bCs/>
          <w:color w:val="auto"/>
          <w:sz w:val="24"/>
        </w:rPr>
        <w:t>倍。在测量中，取压力降的最大值和最小值的算术平均值，按公式</w:t>
      </w:r>
      <w:r>
        <w:rPr>
          <w:rFonts w:ascii="宋体" w:hAnsi="宋体"/>
          <w:bCs/>
          <w:color w:val="auto"/>
          <w:sz w:val="24"/>
        </w:rPr>
        <w:t>(</w:t>
      </w:r>
      <w:r>
        <w:rPr>
          <w:rFonts w:hint="eastAsia" w:ascii="宋体" w:hAnsi="宋体"/>
          <w:bCs/>
          <w:color w:val="auto"/>
          <w:sz w:val="24"/>
        </w:rPr>
        <w:t>4</w:t>
      </w:r>
      <w:r>
        <w:rPr>
          <w:rFonts w:ascii="宋体" w:hAnsi="宋体"/>
          <w:bCs/>
          <w:color w:val="auto"/>
          <w:sz w:val="24"/>
        </w:rPr>
        <w:t>)</w:t>
      </w:r>
      <w:r>
        <w:rPr>
          <w:rFonts w:hint="eastAsia" w:ascii="宋体" w:hAnsi="宋体"/>
          <w:bCs/>
          <w:color w:val="auto"/>
          <w:sz w:val="24"/>
        </w:rPr>
        <w:t>计算。</w:t>
      </w:r>
    </w:p>
    <w:p>
      <w:pPr>
        <w:wordWrap w:val="0"/>
        <w:adjustRightInd w:val="0"/>
        <w:snapToGrid w:val="0"/>
        <w:jc w:val="right"/>
        <w:rPr>
          <w:rFonts w:hint="eastAsia"/>
          <w:color w:val="auto"/>
          <w:sz w:val="24"/>
        </w:rPr>
      </w:pPr>
      <w:r>
        <w:rPr>
          <w:color w:val="auto"/>
          <w:position w:val="-24"/>
          <w:sz w:val="24"/>
        </w:rPr>
        <w:object>
          <v:shape id="_x0000_i1039" o:spt="75" type="#_x0000_t75" style="height:36.2pt;width:111.55pt;" o:ole="t" filled="f" o:preferrelative="t" stroked="f" coordsize="21600,21600">
            <v:path/>
            <v:fill on="f" alignshape="1" focussize="0,0"/>
            <v:stroke on="f"/>
            <v:imagedata r:id="rId46" o:title=""/>
            <o:lock v:ext="edit" aspectratio="t"/>
            <w10:wrap type="none"/>
            <w10:anchorlock/>
          </v:shape>
          <o:OLEObject Type="Embed" ProgID="Equation.3" ShapeID="_x0000_i1039" DrawAspect="Content" ObjectID="_1468075739" r:id="rId45">
            <o:LockedField>false</o:LockedField>
          </o:OLEObject>
        </w:object>
      </w:r>
      <w:r>
        <w:rPr>
          <w:rFonts w:hint="eastAsia"/>
          <w:color w:val="auto"/>
          <w:sz w:val="24"/>
        </w:rPr>
        <w:t xml:space="preserve">                           （4）</w:t>
      </w:r>
    </w:p>
    <w:p>
      <w:pPr>
        <w:adjustRightInd w:val="0"/>
        <w:snapToGrid w:val="0"/>
        <w:spacing w:line="300" w:lineRule="auto"/>
        <w:ind w:firstLine="480" w:firstLineChars="200"/>
        <w:rPr>
          <w:rFonts w:hint="eastAsia" w:hAnsi="宋体"/>
          <w:color w:val="auto"/>
          <w:kern w:val="24"/>
          <w:sz w:val="24"/>
        </w:rPr>
      </w:pPr>
      <w:r>
        <w:rPr>
          <w:rFonts w:hint="eastAsia" w:hAnsi="宋体"/>
          <w:color w:val="auto"/>
          <w:sz w:val="24"/>
        </w:rPr>
        <w:t>式中</w:t>
      </w:r>
      <w:r>
        <w:rPr>
          <w:rFonts w:hAnsi="宋体"/>
          <w:color w:val="auto"/>
          <w:sz w:val="24"/>
        </w:rPr>
        <w:t>：</w:t>
      </w:r>
      <w:r>
        <w:rPr>
          <w:color w:val="auto"/>
          <w:position w:val="-10"/>
        </w:rPr>
        <w:object>
          <v:shape id="_x0000_i1040" o:spt="75" type="#_x0000_t75" style="height:16pt;width:18pt;" o:ole="t" filled="f" stroked="f" coordsize="21600,21600">
            <v:path/>
            <v:fill on="f" focussize="0,0"/>
            <v:stroke on="f"/>
            <v:imagedata r:id="rId48" o:title=""/>
            <o:lock v:ext="edit" aspectratio="t"/>
            <w10:wrap type="none"/>
            <w10:anchorlock/>
          </v:shape>
          <o:OLEObject Type="Embed" ProgID="Equation.3" ShapeID="_x0000_i1040" DrawAspect="Content" ObjectID="_1468075740" r:id="rId47">
            <o:LockedField>false</o:LockedField>
          </o:OLEObject>
        </w:object>
      </w:r>
      <w:r>
        <w:rPr>
          <w:color w:val="auto"/>
          <w:sz w:val="24"/>
        </w:rPr>
        <w:t>——</w:t>
      </w:r>
      <w:r>
        <w:rPr>
          <w:rFonts w:hint="eastAsia" w:hAnsi="宋体"/>
          <w:color w:val="auto"/>
          <w:kern w:val="24"/>
          <w:sz w:val="24"/>
        </w:rPr>
        <w:t>压力损失，Pa</w:t>
      </w:r>
      <w:r>
        <w:rPr>
          <w:rFonts w:hAnsi="宋体"/>
          <w:color w:val="auto"/>
          <w:kern w:val="24"/>
          <w:sz w:val="24"/>
        </w:rPr>
        <w:t>；</w:t>
      </w:r>
    </w:p>
    <w:p>
      <w:pPr>
        <w:adjustRightInd w:val="0"/>
        <w:snapToGrid w:val="0"/>
        <w:spacing w:line="300" w:lineRule="auto"/>
        <w:ind w:firstLine="480" w:firstLineChars="200"/>
        <w:rPr>
          <w:rFonts w:hint="eastAsia" w:hAnsi="宋体"/>
          <w:color w:val="auto"/>
          <w:kern w:val="24"/>
          <w:sz w:val="24"/>
        </w:rPr>
      </w:pPr>
      <w:r>
        <w:rPr>
          <w:rFonts w:hint="eastAsia" w:hAnsi="宋体"/>
          <w:color w:val="auto"/>
          <w:kern w:val="24"/>
          <w:sz w:val="24"/>
        </w:rPr>
        <w:t xml:space="preserve">      </w:t>
      </w:r>
      <w:r>
        <w:rPr>
          <w:color w:val="auto"/>
          <w:position w:val="-12"/>
        </w:rPr>
        <w:object>
          <v:shape id="_x0000_i1041" o:spt="75" type="#_x0000_t75" style="height:18pt;width:30pt;" o:ole="t" filled="f" stroked="f" coordsize="21600,21600">
            <v:path/>
            <v:fill on="f" focussize="0,0"/>
            <v:stroke on="f"/>
            <v:imagedata r:id="rId50" o:title=""/>
            <o:lock v:ext="edit" aspectratio="t"/>
            <w10:wrap type="none"/>
            <w10:anchorlock/>
          </v:shape>
          <o:OLEObject Type="Embed" ProgID="Equation.3" ShapeID="_x0000_i1041" DrawAspect="Content" ObjectID="_1468075741" r:id="rId49">
            <o:LockedField>false</o:LockedField>
          </o:OLEObject>
        </w:object>
      </w:r>
      <w:r>
        <w:rPr>
          <w:color w:val="auto"/>
          <w:sz w:val="24"/>
        </w:rPr>
        <w:t>——</w:t>
      </w:r>
      <w:r>
        <w:rPr>
          <w:rFonts w:hint="eastAsia" w:hAnsi="宋体"/>
          <w:color w:val="auto"/>
          <w:kern w:val="24"/>
          <w:sz w:val="24"/>
        </w:rPr>
        <w:t>压力降的最大值，Pa</w:t>
      </w:r>
      <w:r>
        <w:rPr>
          <w:rFonts w:hAnsi="宋体"/>
          <w:color w:val="auto"/>
          <w:kern w:val="24"/>
          <w:sz w:val="24"/>
        </w:rPr>
        <w:t>；</w:t>
      </w:r>
    </w:p>
    <w:p>
      <w:pPr>
        <w:widowControl/>
        <w:spacing w:line="312" w:lineRule="auto"/>
        <w:ind w:firstLine="480" w:firstLineChars="200"/>
        <w:jc w:val="left"/>
        <w:rPr>
          <w:rFonts w:hint="eastAsia"/>
          <w:color w:val="auto"/>
          <w:sz w:val="24"/>
        </w:rPr>
      </w:pPr>
      <w:r>
        <w:rPr>
          <w:rFonts w:hint="eastAsia" w:hAnsi="宋体"/>
          <w:color w:val="auto"/>
          <w:kern w:val="24"/>
          <w:sz w:val="24"/>
        </w:rPr>
        <w:t xml:space="preserve">      </w:t>
      </w:r>
      <w:r>
        <w:rPr>
          <w:color w:val="auto"/>
          <w:position w:val="-10"/>
        </w:rPr>
        <w:object>
          <v:shape id="_x0000_i1042" o:spt="75" type="#_x0000_t75" style="height:17pt;width:28pt;" o:ole="t" filled="f" stroked="f" coordsize="21600,21600">
            <v:path/>
            <v:fill on="f" focussize="0,0"/>
            <v:stroke on="f"/>
            <v:imagedata r:id="rId52" o:title=""/>
            <o:lock v:ext="edit" aspectratio="t"/>
            <w10:wrap type="none"/>
            <w10:anchorlock/>
          </v:shape>
          <o:OLEObject Type="Embed" ProgID="Equation.3" ShapeID="_x0000_i1042" DrawAspect="Content" ObjectID="_1468075742" r:id="rId51">
            <o:LockedField>false</o:LockedField>
          </o:OLEObject>
        </w:object>
      </w:r>
      <w:r>
        <w:rPr>
          <w:color w:val="auto"/>
          <w:sz w:val="24"/>
        </w:rPr>
        <w:t>——</w:t>
      </w:r>
      <w:r>
        <w:rPr>
          <w:rFonts w:hint="eastAsia" w:hAnsi="宋体"/>
          <w:color w:val="auto"/>
          <w:kern w:val="24"/>
          <w:sz w:val="24"/>
        </w:rPr>
        <w:t>压力降的最小值，Pa。</w:t>
      </w:r>
    </w:p>
    <w:p>
      <w:pPr>
        <w:widowControl/>
        <w:numPr>
          <w:ilvl w:val="1"/>
          <w:numId w:val="8"/>
        </w:numPr>
        <w:spacing w:line="312" w:lineRule="auto"/>
        <w:jc w:val="left"/>
        <w:rPr>
          <w:color w:val="auto"/>
          <w:sz w:val="24"/>
        </w:rPr>
      </w:pPr>
      <w:r>
        <w:rPr>
          <w:rFonts w:hAnsi="宋体"/>
          <w:bCs/>
          <w:color w:val="auto"/>
          <w:sz w:val="24"/>
        </w:rPr>
        <w:t>示值误差</w:t>
      </w:r>
      <w:r>
        <w:rPr>
          <w:color w:val="auto"/>
          <w:sz w:val="24"/>
        </w:rPr>
        <w:t xml:space="preserve"> </w:t>
      </w:r>
    </w:p>
    <w:p>
      <w:pPr>
        <w:spacing w:line="312" w:lineRule="auto"/>
        <w:ind w:firstLine="424" w:firstLineChars="177"/>
        <w:rPr>
          <w:rFonts w:hint="eastAsia" w:hAnsi="宋体"/>
          <w:color w:val="auto"/>
          <w:sz w:val="24"/>
        </w:rPr>
      </w:pPr>
      <w:r>
        <w:rPr>
          <w:rFonts w:hAnsi="宋体"/>
          <w:color w:val="auto"/>
          <w:sz w:val="24"/>
        </w:rPr>
        <w:t>检定前，</w:t>
      </w:r>
      <w:r>
        <w:rPr>
          <w:rFonts w:hint="eastAsia" w:hAnsi="宋体"/>
          <w:color w:val="auto"/>
          <w:sz w:val="24"/>
        </w:rPr>
        <w:t>燃气表应在最大流量下预运转至少1min</w:t>
      </w:r>
      <w:r>
        <w:rPr>
          <w:rFonts w:hAnsi="宋体"/>
          <w:color w:val="auto"/>
          <w:sz w:val="24"/>
        </w:rPr>
        <w:t>。</w:t>
      </w:r>
      <w:r>
        <w:rPr>
          <w:rFonts w:hint="eastAsia" w:hAnsi="宋体"/>
          <w:color w:val="auto"/>
          <w:sz w:val="24"/>
        </w:rPr>
        <w:t>检定时，将燃气表切换到检定状态下。</w:t>
      </w:r>
    </w:p>
    <w:p>
      <w:pPr>
        <w:spacing w:line="312" w:lineRule="auto"/>
        <w:ind w:firstLine="424" w:firstLineChars="177"/>
        <w:rPr>
          <w:dstrike/>
          <w:color w:val="auto"/>
          <w:sz w:val="24"/>
        </w:rPr>
      </w:pPr>
      <w:r>
        <w:rPr>
          <w:rFonts w:hAnsi="宋体"/>
          <w:color w:val="auto"/>
          <w:sz w:val="24"/>
        </w:rPr>
        <w:t>单次测量示值误差按公式（</w:t>
      </w:r>
      <w:r>
        <w:rPr>
          <w:rFonts w:hint="eastAsia"/>
          <w:color w:val="auto"/>
          <w:sz w:val="24"/>
        </w:rPr>
        <w:t>5</w:t>
      </w:r>
      <w:r>
        <w:rPr>
          <w:rFonts w:hAnsi="宋体"/>
          <w:color w:val="auto"/>
          <w:sz w:val="24"/>
        </w:rPr>
        <w:t>）计算：</w:t>
      </w:r>
    </w:p>
    <w:p>
      <w:pPr>
        <w:spacing w:line="312" w:lineRule="auto"/>
        <w:jc w:val="right"/>
        <w:rPr>
          <w:rFonts w:hint="eastAsia"/>
          <w:color w:val="auto"/>
          <w:sz w:val="24"/>
        </w:rPr>
      </w:pPr>
      <w:r>
        <w:rPr>
          <w:rFonts w:hint="eastAsia"/>
          <w:color w:val="auto"/>
          <w:sz w:val="24"/>
        </w:rPr>
        <w:t xml:space="preserve">                        </w:t>
      </w:r>
      <w:r>
        <w:rPr>
          <w:color w:val="auto"/>
          <w:position w:val="-32"/>
          <w:sz w:val="24"/>
        </w:rPr>
        <w:object>
          <v:shape id="_x0000_i1043" o:spt="75" type="#_x0000_t75" style="height:33pt;width:93.65pt;" o:ole="t" filled="f" o:preferrelative="t" stroked="f" coordsize="21600,21600">
            <v:path/>
            <v:fill on="f" focussize="0,0"/>
            <v:stroke on="f"/>
            <v:imagedata r:id="rId54" o:title=""/>
            <o:lock v:ext="edit" grouping="f" rotation="f" text="f" aspectratio="t"/>
            <w10:wrap type="none"/>
            <w10:anchorlock/>
          </v:shape>
          <o:OLEObject Type="Embed" ProgID="Equation.3" ShapeID="_x0000_i1043" DrawAspect="Content" ObjectID="_1468075743" r:id="rId53">
            <o:LockedField>false</o:LockedField>
          </o:OLEObject>
        </w:object>
      </w:r>
      <w:r>
        <w:rPr>
          <w:rFonts w:hint="eastAsia"/>
          <w:color w:val="auto"/>
          <w:sz w:val="24"/>
        </w:rPr>
        <w:t xml:space="preserve">                          （5）</w:t>
      </w:r>
    </w:p>
    <w:p>
      <w:pPr>
        <w:spacing w:line="312" w:lineRule="auto"/>
        <w:rPr>
          <w:color w:val="auto"/>
          <w:sz w:val="24"/>
        </w:rPr>
      </w:pPr>
      <w:r>
        <w:rPr>
          <w:rFonts w:hAnsi="宋体"/>
          <w:color w:val="auto"/>
          <w:sz w:val="24"/>
        </w:rPr>
        <w:t>式中：</w:t>
      </w:r>
      <w:r>
        <w:rPr>
          <w:color w:val="auto"/>
          <w:sz w:val="24"/>
        </w:rPr>
        <w:t xml:space="preserve"> </w:t>
      </w:r>
      <w:r>
        <w:rPr>
          <w:i/>
          <w:color w:val="auto"/>
          <w:sz w:val="24"/>
        </w:rPr>
        <w:t>E</w:t>
      </w:r>
      <w:r>
        <w:rPr>
          <w:color w:val="auto"/>
          <w:sz w:val="24"/>
        </w:rPr>
        <w:t xml:space="preserve"> ——</w:t>
      </w:r>
      <w:r>
        <w:rPr>
          <w:rFonts w:hAnsi="宋体"/>
          <w:color w:val="auto"/>
          <w:sz w:val="24"/>
        </w:rPr>
        <w:t>单次测量的示值误差</w:t>
      </w:r>
      <w:r>
        <w:rPr>
          <w:rFonts w:hint="eastAsia" w:hAnsi="宋体"/>
          <w:color w:val="auto"/>
          <w:sz w:val="24"/>
        </w:rPr>
        <w:t>，</w:t>
      </w:r>
      <w:r>
        <w:rPr>
          <w:color w:val="auto"/>
          <w:sz w:val="24"/>
        </w:rPr>
        <w:t>%</w:t>
      </w:r>
      <w:r>
        <w:rPr>
          <w:rFonts w:hAnsi="宋体"/>
          <w:color w:val="auto"/>
          <w:sz w:val="24"/>
        </w:rPr>
        <w:t>；</w:t>
      </w:r>
    </w:p>
    <w:p>
      <w:pPr>
        <w:spacing w:line="312" w:lineRule="auto"/>
        <w:ind w:firstLine="849" w:firstLineChars="354"/>
        <w:rPr>
          <w:color w:val="auto"/>
          <w:sz w:val="24"/>
        </w:rPr>
      </w:pPr>
      <w:r>
        <w:rPr>
          <w:i/>
          <w:color w:val="auto"/>
          <w:sz w:val="24"/>
        </w:rPr>
        <w:t>V</w:t>
      </w:r>
      <w:r>
        <w:rPr>
          <w:i/>
          <w:color w:val="auto"/>
          <w:sz w:val="24"/>
          <w:vertAlign w:val="subscript"/>
        </w:rPr>
        <w:t>m</w:t>
      </w:r>
      <w:r>
        <w:rPr>
          <w:color w:val="auto"/>
          <w:sz w:val="24"/>
          <w:vertAlign w:val="subscript"/>
        </w:rPr>
        <w:t xml:space="preserve"> </w:t>
      </w:r>
      <w:r>
        <w:rPr>
          <w:color w:val="auto"/>
          <w:sz w:val="24"/>
        </w:rPr>
        <w:t>——</w:t>
      </w:r>
      <w:r>
        <w:rPr>
          <w:rFonts w:hAnsi="宋体"/>
          <w:color w:val="auto"/>
          <w:sz w:val="24"/>
        </w:rPr>
        <w:t>燃气表的示值，</w:t>
      </w:r>
      <w:r>
        <w:rPr>
          <w:rFonts w:hint="eastAsia"/>
          <w:color w:val="auto"/>
          <w:sz w:val="24"/>
        </w:rPr>
        <w:t>L</w:t>
      </w:r>
      <w:r>
        <w:rPr>
          <w:rFonts w:hAnsi="宋体"/>
          <w:color w:val="auto"/>
          <w:sz w:val="24"/>
        </w:rPr>
        <w:t>；</w:t>
      </w:r>
    </w:p>
    <w:p>
      <w:pPr>
        <w:spacing w:line="312" w:lineRule="auto"/>
        <w:ind w:firstLine="849" w:firstLineChars="354"/>
        <w:rPr>
          <w:color w:val="auto"/>
          <w:sz w:val="24"/>
        </w:rPr>
      </w:pPr>
      <w:r>
        <w:rPr>
          <w:i/>
          <w:color w:val="auto"/>
          <w:sz w:val="24"/>
        </w:rPr>
        <w:t>V</w:t>
      </w:r>
      <w:r>
        <w:rPr>
          <w:i/>
          <w:color w:val="auto"/>
          <w:sz w:val="24"/>
          <w:vertAlign w:val="subscript"/>
        </w:rPr>
        <w:t xml:space="preserve">ref </w:t>
      </w:r>
      <w:r>
        <w:rPr>
          <w:color w:val="auto"/>
          <w:sz w:val="24"/>
        </w:rPr>
        <w:t>——</w:t>
      </w:r>
      <w:r>
        <w:rPr>
          <w:rFonts w:hAnsi="宋体"/>
          <w:color w:val="auto"/>
          <w:sz w:val="24"/>
        </w:rPr>
        <w:t>通过燃气表的气体实际值，</w:t>
      </w:r>
      <w:r>
        <w:rPr>
          <w:rFonts w:hint="eastAsia"/>
          <w:color w:val="auto"/>
          <w:sz w:val="24"/>
        </w:rPr>
        <w:t>L</w:t>
      </w:r>
      <w:r>
        <w:rPr>
          <w:rFonts w:hAnsi="宋体"/>
          <w:color w:val="auto"/>
          <w:sz w:val="24"/>
        </w:rPr>
        <w:t>。</w:t>
      </w:r>
    </w:p>
    <w:p>
      <w:pPr>
        <w:spacing w:line="312" w:lineRule="auto"/>
        <w:ind w:firstLine="424" w:firstLineChars="177"/>
        <w:rPr>
          <w:color w:val="auto"/>
          <w:sz w:val="24"/>
        </w:rPr>
      </w:pPr>
      <w:r>
        <w:rPr>
          <w:rFonts w:hAnsi="宋体"/>
          <w:color w:val="auto"/>
          <w:sz w:val="24"/>
        </w:rPr>
        <w:t>检定时应测量燃气表的进口端和标准装置处的温度、压力，按公式（</w:t>
      </w:r>
      <w:r>
        <w:rPr>
          <w:rFonts w:hint="eastAsia"/>
          <w:color w:val="auto"/>
          <w:sz w:val="24"/>
        </w:rPr>
        <w:t>6</w:t>
      </w:r>
      <w:r>
        <w:rPr>
          <w:rFonts w:hAnsi="宋体"/>
          <w:color w:val="auto"/>
          <w:sz w:val="24"/>
        </w:rPr>
        <w:t>）进行温度、压力修正。</w:t>
      </w:r>
    </w:p>
    <w:p>
      <w:pPr>
        <w:spacing w:line="312" w:lineRule="auto"/>
        <w:jc w:val="right"/>
        <w:rPr>
          <w:color w:val="auto"/>
          <w:sz w:val="24"/>
        </w:rPr>
      </w:pPr>
      <w:r>
        <w:rPr>
          <w:color w:val="auto"/>
          <w:position w:val="-30"/>
          <w:sz w:val="24"/>
        </w:rPr>
        <w:object>
          <v:shape id="_x0000_i1044" o:spt="75" type="#_x0000_t75" style="height:32.4pt;width:109.2pt;" o:ole="t" filled="f" o:preferrelative="t" stroked="f" coordsize="21600,21600">
            <v:path/>
            <v:fill on="f" focussize="0,0"/>
            <v:stroke on="f"/>
            <v:imagedata r:id="rId56" o:title=""/>
            <o:lock v:ext="edit" grouping="f" rotation="f" text="f" aspectratio="t"/>
            <w10:wrap type="none"/>
            <w10:anchorlock/>
          </v:shape>
          <o:OLEObject Type="Embed" ProgID="Equation.3" ShapeID="_x0000_i1044" DrawAspect="Content" ObjectID="_1468075744" r:id="rId55">
            <o:LockedField>false</o:LockedField>
          </o:OLEObject>
        </w:object>
      </w:r>
      <w:r>
        <w:rPr>
          <w:rFonts w:hint="eastAsia"/>
          <w:color w:val="auto"/>
          <w:sz w:val="24"/>
        </w:rPr>
        <w:t xml:space="preserve">                          （6）</w:t>
      </w:r>
    </w:p>
    <w:p>
      <w:pPr>
        <w:spacing w:line="312" w:lineRule="auto"/>
        <w:rPr>
          <w:color w:val="auto"/>
          <w:sz w:val="24"/>
        </w:rPr>
      </w:pPr>
      <w:r>
        <w:rPr>
          <w:rFonts w:hAnsi="宋体"/>
          <w:color w:val="auto"/>
          <w:sz w:val="24"/>
        </w:rPr>
        <w:t>式中：</w:t>
      </w:r>
      <w:r>
        <w:rPr>
          <w:color w:val="auto"/>
          <w:sz w:val="24"/>
        </w:rPr>
        <w:t xml:space="preserve"> </w:t>
      </w:r>
      <w:r>
        <w:rPr>
          <w:i/>
          <w:color w:val="auto"/>
          <w:sz w:val="24"/>
        </w:rPr>
        <w:t>V</w:t>
      </w:r>
      <w:r>
        <w:rPr>
          <w:rFonts w:hint="eastAsia"/>
          <w:i/>
          <w:color w:val="auto"/>
          <w:sz w:val="24"/>
          <w:vertAlign w:val="subscript"/>
        </w:rPr>
        <w:t>s</w:t>
      </w:r>
      <w:r>
        <w:rPr>
          <w:color w:val="auto"/>
          <w:sz w:val="24"/>
          <w:vertAlign w:val="subscript"/>
        </w:rPr>
        <w:t xml:space="preserve"> </w:t>
      </w:r>
      <w:r>
        <w:rPr>
          <w:color w:val="auto"/>
          <w:sz w:val="24"/>
        </w:rPr>
        <w:t>——</w:t>
      </w:r>
      <w:r>
        <w:rPr>
          <w:rFonts w:hAnsi="宋体"/>
          <w:color w:val="auto"/>
          <w:sz w:val="24"/>
        </w:rPr>
        <w:t>标准装置的示值</w:t>
      </w:r>
      <w:r>
        <w:rPr>
          <w:rFonts w:hint="eastAsia" w:hAnsi="宋体"/>
          <w:color w:val="auto"/>
          <w:sz w:val="24"/>
        </w:rPr>
        <w:t>，</w:t>
      </w:r>
      <w:r>
        <w:rPr>
          <w:rFonts w:hint="eastAsia"/>
          <w:color w:val="auto"/>
          <w:sz w:val="24"/>
        </w:rPr>
        <w:t>L</w:t>
      </w:r>
      <w:r>
        <w:rPr>
          <w:rFonts w:hAnsi="宋体"/>
          <w:color w:val="auto"/>
          <w:sz w:val="24"/>
        </w:rPr>
        <w:t>；</w:t>
      </w:r>
    </w:p>
    <w:p>
      <w:pPr>
        <w:spacing w:line="312" w:lineRule="auto"/>
        <w:ind w:firstLine="849" w:firstLineChars="354"/>
        <w:rPr>
          <w:color w:val="auto"/>
          <w:sz w:val="24"/>
        </w:rPr>
      </w:pPr>
      <w:r>
        <w:rPr>
          <w:i/>
          <w:color w:val="auto"/>
          <w:sz w:val="24"/>
        </w:rPr>
        <w:t>p</w:t>
      </w:r>
      <w:r>
        <w:rPr>
          <w:rFonts w:hint="eastAsia"/>
          <w:i/>
          <w:color w:val="auto"/>
          <w:sz w:val="24"/>
          <w:vertAlign w:val="subscript"/>
        </w:rPr>
        <w:t>s</w:t>
      </w:r>
      <w:r>
        <w:rPr>
          <w:color w:val="auto"/>
          <w:sz w:val="24"/>
        </w:rPr>
        <w:t xml:space="preserve"> ——</w:t>
      </w:r>
      <w:r>
        <w:rPr>
          <w:rFonts w:hAnsi="宋体"/>
          <w:color w:val="auto"/>
          <w:sz w:val="24"/>
        </w:rPr>
        <w:t>标准装置处的绝对压力</w:t>
      </w:r>
      <w:r>
        <w:rPr>
          <w:rFonts w:hint="eastAsia"/>
          <w:color w:val="auto"/>
          <w:sz w:val="24"/>
        </w:rPr>
        <w:t>，</w:t>
      </w:r>
      <w:r>
        <w:rPr>
          <w:color w:val="auto"/>
          <w:sz w:val="24"/>
        </w:rPr>
        <w:t>Pa</w:t>
      </w:r>
      <w:r>
        <w:rPr>
          <w:rFonts w:hAnsi="宋体"/>
          <w:color w:val="auto"/>
          <w:sz w:val="24"/>
        </w:rPr>
        <w:t>；</w:t>
      </w:r>
    </w:p>
    <w:p>
      <w:pPr>
        <w:spacing w:line="312" w:lineRule="auto"/>
        <w:ind w:firstLine="849" w:firstLineChars="354"/>
        <w:rPr>
          <w:rFonts w:hint="eastAsia"/>
          <w:color w:val="auto"/>
          <w:sz w:val="24"/>
        </w:rPr>
      </w:pPr>
      <w:r>
        <w:rPr>
          <w:i/>
          <w:color w:val="auto"/>
          <w:sz w:val="24"/>
        </w:rPr>
        <w:t>T</w:t>
      </w:r>
      <w:r>
        <w:rPr>
          <w:rFonts w:hint="eastAsia"/>
          <w:i/>
          <w:color w:val="auto"/>
          <w:sz w:val="24"/>
          <w:vertAlign w:val="subscript"/>
        </w:rPr>
        <w:t>s</w:t>
      </w:r>
      <w:r>
        <w:rPr>
          <w:color w:val="auto"/>
          <w:sz w:val="24"/>
          <w:vertAlign w:val="subscript"/>
        </w:rPr>
        <w:t xml:space="preserve"> </w:t>
      </w:r>
      <w:r>
        <w:rPr>
          <w:color w:val="auto"/>
          <w:sz w:val="24"/>
        </w:rPr>
        <w:t>——</w:t>
      </w:r>
      <w:r>
        <w:rPr>
          <w:rFonts w:hAnsi="宋体"/>
          <w:color w:val="auto"/>
          <w:sz w:val="24"/>
        </w:rPr>
        <w:t>标准装置处的热力学温度</w:t>
      </w:r>
      <w:r>
        <w:rPr>
          <w:rFonts w:hint="eastAsia"/>
          <w:color w:val="auto"/>
          <w:sz w:val="24"/>
        </w:rPr>
        <w:t>，</w:t>
      </w:r>
      <w:r>
        <w:rPr>
          <w:color w:val="auto"/>
          <w:sz w:val="24"/>
        </w:rPr>
        <w:t>K</w:t>
      </w:r>
      <w:r>
        <w:rPr>
          <w:rFonts w:hint="eastAsia" w:hAnsi="宋体"/>
          <w:color w:val="auto"/>
          <w:sz w:val="24"/>
        </w:rPr>
        <w:t>；</w:t>
      </w:r>
    </w:p>
    <w:p>
      <w:pPr>
        <w:spacing w:line="312" w:lineRule="auto"/>
        <w:ind w:firstLine="849" w:firstLineChars="354"/>
        <w:rPr>
          <w:color w:val="auto"/>
          <w:sz w:val="24"/>
        </w:rPr>
      </w:pPr>
      <w:r>
        <w:rPr>
          <w:i/>
          <w:color w:val="auto"/>
          <w:sz w:val="24"/>
        </w:rPr>
        <w:t>p</w:t>
      </w:r>
      <w:r>
        <w:rPr>
          <w:i/>
          <w:color w:val="auto"/>
          <w:sz w:val="24"/>
          <w:vertAlign w:val="subscript"/>
        </w:rPr>
        <w:t>m</w:t>
      </w:r>
      <w:r>
        <w:rPr>
          <w:color w:val="auto"/>
          <w:sz w:val="24"/>
          <w:vertAlign w:val="subscript"/>
        </w:rPr>
        <w:t xml:space="preserve"> </w:t>
      </w:r>
      <w:r>
        <w:rPr>
          <w:color w:val="auto"/>
          <w:sz w:val="24"/>
        </w:rPr>
        <w:t>——</w:t>
      </w:r>
      <w:r>
        <w:rPr>
          <w:rFonts w:hAnsi="宋体"/>
          <w:color w:val="auto"/>
          <w:sz w:val="24"/>
        </w:rPr>
        <w:t>燃气表进口端的绝对压力</w:t>
      </w:r>
      <w:r>
        <w:rPr>
          <w:rFonts w:hint="eastAsia"/>
          <w:color w:val="auto"/>
          <w:sz w:val="24"/>
        </w:rPr>
        <w:t>，</w:t>
      </w:r>
      <w:r>
        <w:rPr>
          <w:color w:val="auto"/>
          <w:sz w:val="24"/>
        </w:rPr>
        <w:t>Pa</w:t>
      </w:r>
      <w:r>
        <w:rPr>
          <w:rFonts w:hAnsi="宋体"/>
          <w:color w:val="auto"/>
          <w:sz w:val="24"/>
        </w:rPr>
        <w:t>；</w:t>
      </w:r>
    </w:p>
    <w:p>
      <w:pPr>
        <w:spacing w:line="312" w:lineRule="auto"/>
        <w:ind w:firstLine="849" w:firstLineChars="354"/>
        <w:rPr>
          <w:color w:val="auto"/>
          <w:sz w:val="24"/>
        </w:rPr>
      </w:pPr>
      <w:r>
        <w:rPr>
          <w:i/>
          <w:color w:val="auto"/>
          <w:sz w:val="24"/>
        </w:rPr>
        <w:t>T</w:t>
      </w:r>
      <w:r>
        <w:rPr>
          <w:i/>
          <w:color w:val="auto"/>
          <w:sz w:val="24"/>
          <w:vertAlign w:val="subscript"/>
        </w:rPr>
        <w:t>m</w:t>
      </w:r>
      <w:r>
        <w:rPr>
          <w:color w:val="auto"/>
          <w:sz w:val="24"/>
          <w:vertAlign w:val="subscript"/>
        </w:rPr>
        <w:t xml:space="preserve"> </w:t>
      </w:r>
      <w:r>
        <w:rPr>
          <w:color w:val="auto"/>
          <w:sz w:val="24"/>
        </w:rPr>
        <w:t>——</w:t>
      </w:r>
      <w:r>
        <w:rPr>
          <w:rFonts w:hAnsi="宋体"/>
          <w:color w:val="auto"/>
          <w:sz w:val="24"/>
        </w:rPr>
        <w:t>燃气表进口端的热力学温度</w:t>
      </w:r>
      <w:r>
        <w:rPr>
          <w:rFonts w:hint="eastAsia" w:hAnsi="宋体"/>
          <w:color w:val="auto"/>
          <w:sz w:val="24"/>
        </w:rPr>
        <w:t>，</w:t>
      </w:r>
      <w:r>
        <w:rPr>
          <w:color w:val="auto"/>
          <w:sz w:val="24"/>
        </w:rPr>
        <w:t>K</w:t>
      </w:r>
      <w:r>
        <w:rPr>
          <w:rFonts w:hAnsi="宋体"/>
          <w:color w:val="auto"/>
          <w:sz w:val="24"/>
        </w:rPr>
        <w:t>。</w:t>
      </w:r>
    </w:p>
    <w:p>
      <w:pPr>
        <w:widowControl/>
        <w:spacing w:line="312" w:lineRule="auto"/>
        <w:jc w:val="left"/>
        <w:rPr>
          <w:rFonts w:hint="eastAsia" w:hAnsi="宋体"/>
          <w:color w:val="auto"/>
          <w:szCs w:val="21"/>
        </w:rPr>
      </w:pPr>
      <w:r>
        <w:rPr>
          <w:rFonts w:hint="eastAsia" w:hAnsi="宋体"/>
          <w:color w:val="auto"/>
          <w:szCs w:val="21"/>
        </w:rPr>
        <w:t xml:space="preserve">        注：</w:t>
      </w:r>
    </w:p>
    <w:p>
      <w:pPr>
        <w:widowControl/>
        <w:spacing w:line="312" w:lineRule="auto"/>
        <w:jc w:val="left"/>
        <w:rPr>
          <w:rFonts w:hint="eastAsia" w:hAnsi="宋体"/>
          <w:color w:val="auto"/>
          <w:szCs w:val="21"/>
        </w:rPr>
      </w:pPr>
      <w:r>
        <w:rPr>
          <w:rFonts w:hint="eastAsia" w:hAnsi="宋体"/>
          <w:color w:val="auto"/>
          <w:szCs w:val="21"/>
        </w:rPr>
        <w:t xml:space="preserve">        1 检定时，为使计算过程中减少小数位数，读取的燃气表与标准装置的示值均采用升（L）为计量单位。</w:t>
      </w:r>
    </w:p>
    <w:p>
      <w:pPr>
        <w:widowControl/>
        <w:spacing w:line="312" w:lineRule="auto"/>
        <w:jc w:val="left"/>
        <w:rPr>
          <w:rFonts w:hint="eastAsia" w:hAnsi="宋体"/>
          <w:color w:val="auto"/>
        </w:rPr>
      </w:pPr>
      <w:r>
        <w:rPr>
          <w:rFonts w:hint="eastAsia" w:hAnsi="宋体"/>
          <w:color w:val="auto"/>
          <w:szCs w:val="21"/>
        </w:rPr>
        <w:t xml:space="preserve">        2 对于1.5级燃气表，如果标准装置处气体温度</w:t>
      </w:r>
      <w:r>
        <w:rPr>
          <w:i/>
          <w:color w:val="auto"/>
          <w:sz w:val="24"/>
        </w:rPr>
        <w:t>T</w:t>
      </w:r>
      <w:r>
        <w:rPr>
          <w:rFonts w:hint="eastAsia"/>
          <w:i/>
          <w:color w:val="auto"/>
          <w:sz w:val="24"/>
          <w:vertAlign w:val="subscript"/>
        </w:rPr>
        <w:t>s</w:t>
      </w:r>
      <w:r>
        <w:rPr>
          <w:color w:val="auto"/>
          <w:sz w:val="24"/>
          <w:vertAlign w:val="subscript"/>
        </w:rPr>
        <w:t xml:space="preserve"> </w:t>
      </w:r>
      <w:r>
        <w:rPr>
          <w:rFonts w:hint="eastAsia" w:hAnsi="宋体"/>
          <w:color w:val="auto"/>
          <w:szCs w:val="21"/>
        </w:rPr>
        <w:t>和燃气表处气体温度</w:t>
      </w:r>
      <w:r>
        <w:rPr>
          <w:i/>
          <w:color w:val="auto"/>
          <w:sz w:val="24"/>
        </w:rPr>
        <w:t>T</w:t>
      </w:r>
      <w:r>
        <w:rPr>
          <w:i/>
          <w:color w:val="auto"/>
          <w:sz w:val="24"/>
          <w:vertAlign w:val="subscript"/>
        </w:rPr>
        <w:t>m</w:t>
      </w:r>
      <w:r>
        <w:rPr>
          <w:rFonts w:hint="eastAsia" w:hAnsi="宋体"/>
          <w:color w:val="auto"/>
          <w:szCs w:val="21"/>
        </w:rPr>
        <w:t>的差值</w:t>
      </w:r>
      <w:r>
        <w:rPr>
          <w:rFonts w:hAnsi="宋体"/>
          <w:color w:val="auto"/>
        </w:rPr>
        <w:t>≤</w:t>
      </w:r>
      <w:r>
        <w:rPr>
          <w:rFonts w:hint="eastAsia" w:hAnsi="宋体"/>
          <w:color w:val="auto"/>
        </w:rPr>
        <w:t>0.5℃，标准装置处压力和燃气表进口端压力的差值</w:t>
      </w:r>
      <w:r>
        <w:rPr>
          <w:rFonts w:hAnsi="宋体"/>
          <w:color w:val="auto"/>
        </w:rPr>
        <w:t>≤</w:t>
      </w:r>
      <w:r>
        <w:rPr>
          <w:rFonts w:hint="eastAsia" w:hAnsi="宋体"/>
          <w:color w:val="auto"/>
        </w:rPr>
        <w:t>200Pa，可以不进行温度和压力修正计算。则单次测量示值误差公式(5)可以简化成：</w:t>
      </w:r>
    </w:p>
    <w:p>
      <w:pPr>
        <w:widowControl/>
        <w:spacing w:line="312" w:lineRule="auto"/>
        <w:ind w:firstLine="1890" w:firstLineChars="900"/>
        <w:jc w:val="right"/>
        <w:rPr>
          <w:rFonts w:hint="eastAsia"/>
          <w:color w:val="auto"/>
        </w:rPr>
      </w:pPr>
      <w:r>
        <w:rPr>
          <w:rFonts w:hint="eastAsia"/>
          <w:color w:val="auto"/>
          <w:position w:val="-30"/>
        </w:rPr>
        <w:object>
          <v:shape id="_x0000_i1045" o:spt="75" type="#_x0000_t75" style="height:34pt;width:96pt;" o:ole="t" filled="f" o:preferrelative="t" stroked="f" coordsize="21600,21600">
            <v:path/>
            <v:fill on="f" focussize="0,0"/>
            <v:stroke on="f"/>
            <v:imagedata r:id="rId58" o:title=""/>
            <o:lock v:ext="edit" aspectratio="t"/>
            <w10:wrap type="none"/>
            <w10:anchorlock/>
          </v:shape>
          <o:OLEObject Type="Embed" ProgID="Equation.KSEE3" ShapeID="_x0000_i1045" DrawAspect="Content" ObjectID="_1468075745" r:id="rId57">
            <o:LockedField>false</o:LockedField>
          </o:OLEObject>
        </w:object>
      </w:r>
      <w:r>
        <w:rPr>
          <w:rFonts w:hint="eastAsia"/>
          <w:color w:val="auto"/>
          <w:sz w:val="24"/>
        </w:rPr>
        <w:t xml:space="preserve">                          （7）</w:t>
      </w:r>
    </w:p>
    <w:p>
      <w:pPr>
        <w:widowControl/>
        <w:spacing w:line="324" w:lineRule="auto"/>
        <w:jc w:val="left"/>
        <w:rPr>
          <w:rFonts w:ascii="宋体"/>
          <w:color w:val="auto"/>
          <w:sz w:val="24"/>
        </w:rPr>
      </w:pPr>
      <w:r>
        <w:rPr>
          <w:rFonts w:hint="eastAsia" w:hAnsi="宋体"/>
          <w:color w:val="auto"/>
          <w:sz w:val="24"/>
        </w:rPr>
        <w:t>7.3.4.1</w:t>
      </w:r>
      <w:r>
        <w:rPr>
          <w:rFonts w:hAnsi="宋体"/>
          <w:color w:val="auto"/>
          <w:sz w:val="24"/>
        </w:rPr>
        <w:t xml:space="preserve"> </w:t>
      </w:r>
      <w:r>
        <w:rPr>
          <w:rFonts w:hint="eastAsia" w:hAnsi="宋体"/>
          <w:color w:val="auto"/>
          <w:sz w:val="24"/>
        </w:rPr>
        <w:t>燃气表</w:t>
      </w:r>
      <w:r>
        <w:rPr>
          <w:rFonts w:hint="eastAsia" w:ascii="宋体"/>
          <w:color w:val="auto"/>
          <w:sz w:val="24"/>
        </w:rPr>
        <w:t>检定流量点一般为小流量、中流量和大流量。小流量检定点可以在（</w:t>
      </w:r>
      <w:r>
        <w:rPr>
          <w:i/>
          <w:color w:val="auto"/>
          <w:sz w:val="24"/>
        </w:rPr>
        <w:t>q</w:t>
      </w:r>
      <w:r>
        <w:rPr>
          <w:color w:val="auto"/>
          <w:sz w:val="24"/>
          <w:vertAlign w:val="subscript"/>
        </w:rPr>
        <w:t>min</w:t>
      </w:r>
      <w:r>
        <w:rPr>
          <w:rFonts w:hint="eastAsia" w:ascii="宋体"/>
          <w:color w:val="auto"/>
          <w:sz w:val="24"/>
        </w:rPr>
        <w:t>～3</w:t>
      </w:r>
      <w:r>
        <w:rPr>
          <w:i/>
          <w:color w:val="auto"/>
          <w:sz w:val="24"/>
        </w:rPr>
        <w:t>q</w:t>
      </w:r>
      <w:r>
        <w:rPr>
          <w:color w:val="auto"/>
          <w:sz w:val="24"/>
          <w:vertAlign w:val="subscript"/>
        </w:rPr>
        <w:t>min</w:t>
      </w:r>
      <w:r>
        <w:rPr>
          <w:rFonts w:hint="eastAsia" w:ascii="宋体"/>
          <w:color w:val="auto"/>
          <w:sz w:val="24"/>
        </w:rPr>
        <w:t>）之间选取，中流量为</w:t>
      </w:r>
      <w:r>
        <w:rPr>
          <w:color w:val="auto"/>
          <w:sz w:val="24"/>
        </w:rPr>
        <w:t>0.2</w:t>
      </w:r>
      <w:r>
        <w:rPr>
          <w:i/>
          <w:color w:val="auto"/>
          <w:sz w:val="24"/>
        </w:rPr>
        <w:t>q</w:t>
      </w:r>
      <w:r>
        <w:rPr>
          <w:color w:val="auto"/>
          <w:sz w:val="24"/>
          <w:vertAlign w:val="subscript"/>
        </w:rPr>
        <w:t>max</w:t>
      </w:r>
      <w:r>
        <w:rPr>
          <w:rFonts w:hint="eastAsia" w:ascii="宋体"/>
          <w:color w:val="auto"/>
          <w:sz w:val="24"/>
        </w:rPr>
        <w:t>，大流量为</w:t>
      </w:r>
      <w:r>
        <w:rPr>
          <w:i/>
          <w:color w:val="auto"/>
          <w:sz w:val="24"/>
        </w:rPr>
        <w:t>q</w:t>
      </w:r>
      <w:r>
        <w:rPr>
          <w:color w:val="auto"/>
          <w:sz w:val="24"/>
          <w:vertAlign w:val="subscript"/>
        </w:rPr>
        <w:t>max</w:t>
      </w:r>
      <w:r>
        <w:rPr>
          <w:rFonts w:hint="eastAsia" w:ascii="宋体"/>
          <w:color w:val="auto"/>
          <w:sz w:val="24"/>
        </w:rPr>
        <w:t>，每个流量点至少检定</w:t>
      </w:r>
      <w:r>
        <w:rPr>
          <w:rFonts w:hint="eastAsia" w:ascii="宋体"/>
          <w:b/>
          <w:color w:val="auto"/>
          <w:sz w:val="24"/>
        </w:rPr>
        <w:t>一</w:t>
      </w:r>
      <w:r>
        <w:rPr>
          <w:rFonts w:hint="eastAsia" w:ascii="宋体"/>
          <w:color w:val="auto"/>
          <w:sz w:val="24"/>
        </w:rPr>
        <w:t>次。如果一次检定有疑问，应增加检定次数。两次测量所得示值误差间的最大差值应不超过0.6%（小流量点除外）。示值误差应取测量结果的算术平均值。检定流量一般不超过设定流量的±5%。</w:t>
      </w:r>
    </w:p>
    <w:p>
      <w:pPr>
        <w:widowControl/>
        <w:spacing w:line="324" w:lineRule="auto"/>
        <w:jc w:val="left"/>
        <w:rPr>
          <w:rFonts w:hint="eastAsia" w:hAnsi="宋体"/>
          <w:bCs/>
          <w:color w:val="auto"/>
          <w:sz w:val="24"/>
        </w:rPr>
      </w:pPr>
      <w:r>
        <w:rPr>
          <w:rFonts w:hint="eastAsia" w:hAnsi="宋体"/>
          <w:color w:val="auto"/>
          <w:sz w:val="24"/>
        </w:rPr>
        <w:t>7.3.4.2</w:t>
      </w:r>
      <w:r>
        <w:rPr>
          <w:rFonts w:hAnsi="宋体"/>
          <w:color w:val="auto"/>
          <w:sz w:val="24"/>
        </w:rPr>
        <w:t xml:space="preserve"> </w:t>
      </w:r>
      <w:r>
        <w:rPr>
          <w:rFonts w:hint="eastAsia" w:hAnsi="宋体"/>
          <w:bCs/>
          <w:color w:val="auto"/>
          <w:sz w:val="24"/>
        </w:rPr>
        <w:t>示值误差检定时大、中流量点（</w:t>
      </w:r>
      <w:r>
        <w:rPr>
          <w:i/>
          <w:color w:val="auto"/>
          <w:szCs w:val="21"/>
        </w:rPr>
        <w:t>q</w:t>
      </w:r>
      <w:r>
        <w:rPr>
          <w:color w:val="auto"/>
          <w:szCs w:val="21"/>
          <w:vertAlign w:val="subscript"/>
        </w:rPr>
        <w:t>max</w:t>
      </w:r>
      <w:r>
        <w:rPr>
          <w:rFonts w:hint="eastAsia"/>
          <w:color w:val="auto"/>
          <w:szCs w:val="21"/>
        </w:rPr>
        <w:t>、0.2</w:t>
      </w:r>
      <w:r>
        <w:rPr>
          <w:i/>
          <w:color w:val="auto"/>
          <w:szCs w:val="21"/>
        </w:rPr>
        <w:t>q</w:t>
      </w:r>
      <w:r>
        <w:rPr>
          <w:color w:val="auto"/>
          <w:szCs w:val="21"/>
          <w:vertAlign w:val="subscript"/>
        </w:rPr>
        <w:t>max</w:t>
      </w:r>
      <w:r>
        <w:rPr>
          <w:rFonts w:hint="eastAsia" w:hAnsi="宋体"/>
          <w:bCs/>
          <w:color w:val="auto"/>
          <w:sz w:val="24"/>
        </w:rPr>
        <w:t>）的最少通气量不少于检定流量下1min所对应的体积量，或不少于燃气表检定状态下分辨力的400倍。小流量点的体积量不小于10min所对应的体积量。</w:t>
      </w:r>
    </w:p>
    <w:p>
      <w:pPr>
        <w:widowControl/>
        <w:spacing w:line="324" w:lineRule="auto"/>
        <w:jc w:val="left"/>
        <w:rPr>
          <w:rFonts w:hint="eastAsia"/>
          <w:color w:val="auto"/>
          <w:sz w:val="24"/>
        </w:rPr>
      </w:pPr>
      <w:r>
        <w:rPr>
          <w:rFonts w:hint="eastAsia" w:hAnsi="宋体"/>
          <w:color w:val="auto"/>
          <w:sz w:val="24"/>
        </w:rPr>
        <w:t>7.3.4.3</w:t>
      </w:r>
      <w:r>
        <w:rPr>
          <w:rFonts w:hAnsi="宋体"/>
          <w:color w:val="auto"/>
          <w:sz w:val="24"/>
        </w:rPr>
        <w:t>使用中检</w:t>
      </w:r>
      <w:r>
        <w:rPr>
          <w:rFonts w:hint="eastAsia" w:hAnsi="宋体"/>
          <w:color w:val="auto"/>
          <w:sz w:val="24"/>
        </w:rPr>
        <w:t>查</w:t>
      </w:r>
    </w:p>
    <w:p>
      <w:pPr>
        <w:widowControl/>
        <w:spacing w:line="324" w:lineRule="auto"/>
        <w:ind w:left="57" w:firstLine="480" w:firstLineChars="200"/>
        <w:jc w:val="left"/>
        <w:rPr>
          <w:rFonts w:hint="eastAsia"/>
          <w:color w:val="auto"/>
          <w:sz w:val="24"/>
        </w:rPr>
      </w:pPr>
      <w:r>
        <w:rPr>
          <w:rFonts w:hint="eastAsia" w:ascii="宋体"/>
          <w:color w:val="auto"/>
          <w:sz w:val="24"/>
        </w:rPr>
        <w:t>使用中检查如在实验室进行时，燃气表检测流量点一般可为</w:t>
      </w:r>
      <w:r>
        <w:rPr>
          <w:color w:val="auto"/>
          <w:sz w:val="24"/>
        </w:rPr>
        <w:t>0.2</w:t>
      </w:r>
      <w:r>
        <w:rPr>
          <w:i/>
          <w:color w:val="auto"/>
          <w:sz w:val="24"/>
        </w:rPr>
        <w:t>q</w:t>
      </w:r>
      <w:r>
        <w:rPr>
          <w:color w:val="auto"/>
          <w:sz w:val="24"/>
          <w:vertAlign w:val="subscript"/>
        </w:rPr>
        <w:t>max</w:t>
      </w:r>
      <w:r>
        <w:rPr>
          <w:color w:val="auto"/>
          <w:sz w:val="24"/>
        </w:rPr>
        <w:t>、</w:t>
      </w:r>
      <w:r>
        <w:rPr>
          <w:i/>
          <w:color w:val="auto"/>
          <w:sz w:val="24"/>
        </w:rPr>
        <w:t>q</w:t>
      </w:r>
      <w:r>
        <w:rPr>
          <w:color w:val="auto"/>
          <w:sz w:val="24"/>
          <w:vertAlign w:val="subscript"/>
        </w:rPr>
        <w:t>max</w:t>
      </w:r>
      <w:r>
        <w:rPr>
          <w:rFonts w:hint="eastAsia" w:ascii="宋体"/>
          <w:color w:val="auto"/>
          <w:sz w:val="24"/>
        </w:rPr>
        <w:t>。如在现场常温下（20±10）℃试验时，一般可选择在</w:t>
      </w:r>
      <w:r>
        <w:rPr>
          <w:color w:val="auto"/>
          <w:sz w:val="24"/>
        </w:rPr>
        <w:t>0.2</w:t>
      </w:r>
      <w:r>
        <w:rPr>
          <w:i/>
          <w:color w:val="auto"/>
          <w:sz w:val="24"/>
        </w:rPr>
        <w:t>q</w:t>
      </w:r>
      <w:r>
        <w:rPr>
          <w:color w:val="auto"/>
          <w:sz w:val="24"/>
          <w:vertAlign w:val="subscript"/>
        </w:rPr>
        <w:t>max</w:t>
      </w:r>
      <w:r>
        <w:rPr>
          <w:rFonts w:hint="eastAsia" w:ascii="宋体"/>
          <w:color w:val="auto"/>
          <w:sz w:val="24"/>
        </w:rPr>
        <w:t>流量点进行试验检查，如试验结果有争议，以在实验室检查结果为准。</w:t>
      </w:r>
    </w:p>
    <w:p>
      <w:pPr>
        <w:widowControl/>
        <w:spacing w:line="324" w:lineRule="auto"/>
        <w:jc w:val="left"/>
        <w:rPr>
          <w:rFonts w:hint="eastAsia"/>
          <w:color w:val="auto"/>
          <w:sz w:val="24"/>
        </w:rPr>
      </w:pPr>
      <w:r>
        <w:rPr>
          <w:rFonts w:hint="eastAsia" w:hAnsi="宋体"/>
          <w:color w:val="auto"/>
          <w:sz w:val="24"/>
        </w:rPr>
        <w:t>7.3.4.4</w:t>
      </w:r>
      <w:r>
        <w:rPr>
          <w:rFonts w:hAnsi="宋体"/>
          <w:color w:val="auto"/>
          <w:sz w:val="24"/>
        </w:rPr>
        <w:t>示值误差</w:t>
      </w:r>
      <w:r>
        <w:rPr>
          <w:rFonts w:hint="eastAsia" w:hAnsi="宋体"/>
          <w:color w:val="auto"/>
          <w:sz w:val="24"/>
        </w:rPr>
        <w:t>的</w:t>
      </w:r>
      <w:r>
        <w:rPr>
          <w:rFonts w:hAnsi="宋体"/>
          <w:color w:val="auto"/>
          <w:sz w:val="24"/>
        </w:rPr>
        <w:t>检定方法</w:t>
      </w:r>
    </w:p>
    <w:p>
      <w:pPr>
        <w:spacing w:line="324" w:lineRule="auto"/>
        <w:ind w:firstLine="424" w:firstLineChars="177"/>
        <w:rPr>
          <w:rFonts w:hint="eastAsia" w:hAnsi="宋体"/>
          <w:color w:val="auto"/>
          <w:sz w:val="24"/>
        </w:rPr>
      </w:pPr>
      <w:r>
        <w:rPr>
          <w:rFonts w:hint="eastAsia" w:hAnsi="宋体"/>
          <w:color w:val="auto"/>
          <w:sz w:val="24"/>
        </w:rPr>
        <w:t>a) 检定使用标准</w:t>
      </w:r>
      <w:r>
        <w:rPr>
          <w:rFonts w:hAnsi="宋体"/>
          <w:color w:val="auto"/>
          <w:sz w:val="24"/>
        </w:rPr>
        <w:t>装置</w:t>
      </w:r>
    </w:p>
    <w:p>
      <w:pPr>
        <w:spacing w:line="324" w:lineRule="auto"/>
        <w:ind w:firstLine="424" w:firstLineChars="177"/>
        <w:rPr>
          <w:color w:val="auto"/>
          <w:sz w:val="24"/>
        </w:rPr>
      </w:pPr>
      <w:r>
        <w:rPr>
          <w:rFonts w:hint="eastAsia" w:hAnsi="宋体"/>
          <w:color w:val="auto"/>
          <w:sz w:val="24"/>
        </w:rPr>
        <w:t>标准</w:t>
      </w:r>
      <w:r>
        <w:rPr>
          <w:rFonts w:hAnsi="宋体"/>
          <w:color w:val="auto"/>
          <w:sz w:val="24"/>
        </w:rPr>
        <w:t>装置可采用</w:t>
      </w:r>
      <w:r>
        <w:rPr>
          <w:rFonts w:hint="eastAsia" w:hAnsi="宋体"/>
          <w:color w:val="auto"/>
          <w:sz w:val="24"/>
        </w:rPr>
        <w:t>容积法</w:t>
      </w:r>
      <w:r>
        <w:rPr>
          <w:rFonts w:hAnsi="宋体"/>
          <w:color w:val="auto"/>
          <w:sz w:val="24"/>
        </w:rPr>
        <w:t>标准</w:t>
      </w:r>
      <w:r>
        <w:rPr>
          <w:rFonts w:hint="eastAsia" w:hAnsi="宋体"/>
          <w:color w:val="auto"/>
          <w:sz w:val="24"/>
        </w:rPr>
        <w:t>装置，常用的有</w:t>
      </w:r>
      <w:r>
        <w:rPr>
          <w:rFonts w:hAnsi="宋体"/>
          <w:color w:val="auto"/>
          <w:sz w:val="24"/>
        </w:rPr>
        <w:t>钟罩式气体流量标准装置</w:t>
      </w:r>
      <w:r>
        <w:rPr>
          <w:rFonts w:hint="eastAsia"/>
          <w:color w:val="auto"/>
          <w:sz w:val="24"/>
        </w:rPr>
        <w:t>（</w:t>
      </w:r>
      <w:r>
        <w:rPr>
          <w:rFonts w:hAnsi="宋体"/>
          <w:color w:val="auto"/>
          <w:sz w:val="24"/>
        </w:rPr>
        <w:t>以下简称钟罩</w:t>
      </w:r>
      <w:r>
        <w:rPr>
          <w:rFonts w:hint="eastAsia"/>
          <w:color w:val="auto"/>
          <w:sz w:val="24"/>
        </w:rPr>
        <w:t>，</w:t>
      </w:r>
      <w:r>
        <w:rPr>
          <w:rFonts w:hint="eastAsia" w:hAnsi="宋体"/>
          <w:color w:val="auto"/>
          <w:sz w:val="24"/>
        </w:rPr>
        <w:t>见</w:t>
      </w:r>
      <w:r>
        <w:rPr>
          <w:rFonts w:hAnsi="宋体"/>
          <w:color w:val="auto"/>
          <w:sz w:val="24"/>
        </w:rPr>
        <w:t>图</w:t>
      </w:r>
      <w:r>
        <w:rPr>
          <w:rFonts w:hint="eastAsia"/>
          <w:color w:val="auto"/>
          <w:sz w:val="24"/>
        </w:rPr>
        <w:t>4）</w:t>
      </w:r>
      <w:r>
        <w:rPr>
          <w:rFonts w:hAnsi="宋体"/>
          <w:color w:val="auto"/>
          <w:sz w:val="24"/>
        </w:rPr>
        <w:t>，标准表法流量标准装置</w:t>
      </w:r>
      <w:r>
        <w:rPr>
          <w:rFonts w:hint="eastAsia"/>
          <w:color w:val="auto"/>
          <w:sz w:val="24"/>
        </w:rPr>
        <w:t>（</w:t>
      </w:r>
      <w:r>
        <w:rPr>
          <w:rFonts w:hAnsi="宋体"/>
          <w:color w:val="auto"/>
          <w:sz w:val="24"/>
        </w:rPr>
        <w:t>以下简称标准表法</w:t>
      </w:r>
      <w:r>
        <w:rPr>
          <w:rFonts w:hint="eastAsia"/>
          <w:color w:val="auto"/>
          <w:sz w:val="24"/>
        </w:rPr>
        <w:t>）</w:t>
      </w:r>
      <w:r>
        <w:rPr>
          <w:rFonts w:hAnsi="宋体"/>
          <w:color w:val="auto"/>
          <w:sz w:val="24"/>
        </w:rPr>
        <w:t>，以及能满足</w:t>
      </w:r>
      <w:r>
        <w:rPr>
          <w:color w:val="auto"/>
          <w:sz w:val="24"/>
        </w:rPr>
        <w:t>7.1.1</w:t>
      </w:r>
      <w:r>
        <w:rPr>
          <w:rFonts w:hAnsi="宋体"/>
          <w:color w:val="auto"/>
          <w:sz w:val="24"/>
        </w:rPr>
        <w:t>条要求的其它标准装置</w:t>
      </w:r>
      <w:r>
        <w:rPr>
          <w:rFonts w:hint="eastAsia" w:hAnsi="宋体"/>
          <w:color w:val="auto"/>
          <w:sz w:val="24"/>
        </w:rPr>
        <w:t>。</w:t>
      </w:r>
      <w:r>
        <w:rPr>
          <w:rFonts w:hAnsi="宋体"/>
          <w:color w:val="auto"/>
          <w:sz w:val="24"/>
        </w:rPr>
        <w:t>常用的标准表有湿式气体流量计（</w:t>
      </w:r>
      <w:r>
        <w:rPr>
          <w:rFonts w:hint="eastAsia" w:hAnsi="宋体"/>
          <w:color w:val="auto"/>
          <w:sz w:val="24"/>
        </w:rPr>
        <w:t>见</w:t>
      </w:r>
      <w:r>
        <w:rPr>
          <w:rFonts w:hAnsi="宋体"/>
          <w:color w:val="auto"/>
          <w:sz w:val="24"/>
        </w:rPr>
        <w:t>图</w:t>
      </w:r>
      <w:r>
        <w:rPr>
          <w:rFonts w:hint="eastAsia"/>
          <w:color w:val="auto"/>
          <w:sz w:val="24"/>
        </w:rPr>
        <w:t>5</w:t>
      </w:r>
      <w:r>
        <w:rPr>
          <w:rFonts w:hAnsi="宋体"/>
          <w:color w:val="auto"/>
          <w:sz w:val="24"/>
        </w:rPr>
        <w:t>）</w:t>
      </w:r>
      <w:r>
        <w:rPr>
          <w:rFonts w:hint="eastAsia" w:hAnsi="宋体"/>
          <w:color w:val="auto"/>
          <w:sz w:val="24"/>
        </w:rPr>
        <w:t>、</w:t>
      </w:r>
      <w:r>
        <w:rPr>
          <w:rFonts w:hAnsi="宋体"/>
          <w:color w:val="auto"/>
          <w:sz w:val="24"/>
        </w:rPr>
        <w:t>临界流流量计</w:t>
      </w:r>
      <w:r>
        <w:rPr>
          <w:rFonts w:hint="eastAsia" w:hAnsi="宋体"/>
          <w:color w:val="auto"/>
          <w:sz w:val="24"/>
        </w:rPr>
        <w:t>和气体腰轮流量计</w:t>
      </w:r>
      <w:r>
        <w:rPr>
          <w:rFonts w:hAnsi="宋体"/>
          <w:color w:val="auto"/>
          <w:sz w:val="24"/>
        </w:rPr>
        <w:t>。</w:t>
      </w:r>
    </w:p>
    <w:p>
      <w:pPr>
        <w:spacing w:line="324" w:lineRule="auto"/>
        <w:ind w:firstLine="424" w:firstLineChars="177"/>
        <w:rPr>
          <w:color w:val="auto"/>
          <w:sz w:val="24"/>
        </w:rPr>
      </w:pPr>
      <w:r>
        <w:rPr>
          <w:rFonts w:hAnsi="宋体"/>
          <w:color w:val="auto"/>
          <w:sz w:val="24"/>
        </w:rPr>
        <w:t>临界流流量计作为标准表的</w:t>
      </w:r>
      <w:r>
        <w:rPr>
          <w:rFonts w:hint="eastAsia" w:hAnsi="宋体"/>
          <w:color w:val="auto"/>
          <w:sz w:val="24"/>
        </w:rPr>
        <w:t>标准</w:t>
      </w:r>
      <w:r>
        <w:rPr>
          <w:rFonts w:hAnsi="宋体"/>
          <w:color w:val="auto"/>
          <w:sz w:val="24"/>
        </w:rPr>
        <w:t>装置示意图如图</w:t>
      </w:r>
      <w:r>
        <w:rPr>
          <w:rFonts w:hint="eastAsia"/>
          <w:color w:val="auto"/>
          <w:sz w:val="24"/>
        </w:rPr>
        <w:t>6</w:t>
      </w:r>
      <w:r>
        <w:rPr>
          <w:rFonts w:hAnsi="宋体"/>
          <w:color w:val="auto"/>
          <w:sz w:val="24"/>
        </w:rPr>
        <w:t>所示（负压法）。按检定流量点选择临界流流量计</w:t>
      </w:r>
      <w:r>
        <w:rPr>
          <w:rFonts w:hint="eastAsia" w:hAnsi="宋体"/>
          <w:color w:val="auto"/>
          <w:sz w:val="24"/>
        </w:rPr>
        <w:t>（</w:t>
      </w:r>
      <w:r>
        <w:rPr>
          <w:rFonts w:hAnsi="宋体"/>
          <w:color w:val="auto"/>
          <w:sz w:val="24"/>
        </w:rPr>
        <w:t>音速喷嘴</w:t>
      </w:r>
      <w:r>
        <w:rPr>
          <w:rFonts w:hint="eastAsia" w:hAnsi="宋体"/>
          <w:color w:val="auto"/>
          <w:sz w:val="24"/>
        </w:rPr>
        <w:t>）</w:t>
      </w:r>
      <w:r>
        <w:rPr>
          <w:rFonts w:hAnsi="宋体"/>
          <w:color w:val="auto"/>
          <w:sz w:val="24"/>
        </w:rPr>
        <w:t>。测量通过临界流流量计气体的滞止压力、滞止温度并计算出流过燃气表的实际体积值，将流过的气体实际体积值和燃气表的示值相比较并进行示值误差计算。正压法装置同理，示意图如图</w:t>
      </w:r>
      <w:r>
        <w:rPr>
          <w:rFonts w:hint="eastAsia"/>
          <w:color w:val="auto"/>
          <w:sz w:val="24"/>
        </w:rPr>
        <w:t>7</w:t>
      </w:r>
      <w:r>
        <w:rPr>
          <w:rFonts w:hAnsi="宋体"/>
          <w:color w:val="auto"/>
          <w:sz w:val="24"/>
        </w:rPr>
        <w:t>所示。</w:t>
      </w:r>
    </w:p>
    <w:p>
      <w:pPr>
        <w:tabs>
          <w:tab w:val="left" w:pos="5572"/>
        </w:tabs>
        <w:spacing w:line="324" w:lineRule="auto"/>
        <w:jc w:val="center"/>
        <w:rPr>
          <w:rFonts w:hint="eastAsia"/>
          <w:color w:val="auto"/>
          <w:sz w:val="24"/>
        </w:rPr>
      </w:pPr>
      <w:r>
        <w:rPr>
          <w:rFonts w:hint="eastAsia"/>
          <w:color w:val="auto"/>
          <w:sz w:val="24"/>
        </w:rPr>
        <w:drawing>
          <wp:inline distT="0" distB="0" distL="114300" distR="114300">
            <wp:extent cx="4486275" cy="2411730"/>
            <wp:effectExtent l="0" t="0" r="9525" b="7620"/>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59"/>
                    <a:stretch>
                      <a:fillRect/>
                    </a:stretch>
                  </pic:blipFill>
                  <pic:spPr>
                    <a:xfrm>
                      <a:off x="0" y="0"/>
                      <a:ext cx="4486275" cy="2411730"/>
                    </a:xfrm>
                    <a:prstGeom prst="rect">
                      <a:avLst/>
                    </a:prstGeom>
                    <a:noFill/>
                    <a:ln w="9525">
                      <a:noFill/>
                    </a:ln>
                  </pic:spPr>
                </pic:pic>
              </a:graphicData>
            </a:graphic>
          </wp:inline>
        </w:drawing>
      </w:r>
    </w:p>
    <w:p>
      <w:pPr>
        <w:tabs>
          <w:tab w:val="left" w:pos="5572"/>
        </w:tabs>
        <w:spacing w:line="324" w:lineRule="auto"/>
        <w:jc w:val="center"/>
        <w:rPr>
          <w:rFonts w:hint="eastAsia" w:ascii="宋体"/>
          <w:color w:val="auto"/>
          <w:sz w:val="24"/>
        </w:rPr>
      </w:pPr>
      <w:r>
        <w:rPr>
          <w:rFonts w:ascii="宋体"/>
          <w:color w:val="auto"/>
          <w:sz w:val="24"/>
        </w:rPr>
        <w:t>图</w:t>
      </w:r>
      <w:r>
        <w:rPr>
          <w:rFonts w:hint="eastAsia" w:ascii="宋体"/>
          <w:color w:val="auto"/>
          <w:sz w:val="24"/>
        </w:rPr>
        <w:t>4</w:t>
      </w:r>
      <w:r>
        <w:rPr>
          <w:rFonts w:ascii="宋体"/>
          <w:color w:val="auto"/>
          <w:sz w:val="24"/>
        </w:rPr>
        <w:t>钟罩法检定示意图</w:t>
      </w:r>
    </w:p>
    <w:p>
      <w:pPr>
        <w:spacing w:line="324" w:lineRule="auto"/>
        <w:jc w:val="center"/>
        <w:rPr>
          <w:rFonts w:hint="eastAsia"/>
          <w:color w:val="auto"/>
          <w:sz w:val="24"/>
        </w:rPr>
      </w:pPr>
      <w:r>
        <w:rPr>
          <w:rFonts w:hint="eastAsia"/>
          <w:color w:val="auto"/>
          <w:sz w:val="24"/>
        </w:rPr>
        <w:t xml:space="preserve"> </w:t>
      </w:r>
      <w:r>
        <w:rPr>
          <w:rFonts w:hint="eastAsia"/>
          <w:color w:val="auto"/>
          <w:sz w:val="24"/>
        </w:rPr>
        <w:drawing>
          <wp:inline distT="0" distB="0" distL="114300" distR="114300">
            <wp:extent cx="5751195" cy="2578735"/>
            <wp:effectExtent l="0" t="0" r="1905" b="12065"/>
            <wp:docPr id="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4"/>
                    <pic:cNvPicPr>
                      <a:picLocks noChangeAspect="1"/>
                    </pic:cNvPicPr>
                  </pic:nvPicPr>
                  <pic:blipFill>
                    <a:blip r:embed="rId60"/>
                    <a:stretch>
                      <a:fillRect/>
                    </a:stretch>
                  </pic:blipFill>
                  <pic:spPr>
                    <a:xfrm>
                      <a:off x="0" y="0"/>
                      <a:ext cx="5751195" cy="2578735"/>
                    </a:xfrm>
                    <a:prstGeom prst="rect">
                      <a:avLst/>
                    </a:prstGeom>
                    <a:noFill/>
                    <a:ln w="9525">
                      <a:noFill/>
                    </a:ln>
                  </pic:spPr>
                </pic:pic>
              </a:graphicData>
            </a:graphic>
          </wp:inline>
        </w:drawing>
      </w:r>
    </w:p>
    <w:p>
      <w:pPr>
        <w:widowControl/>
        <w:spacing w:line="324" w:lineRule="auto"/>
        <w:ind w:left="57"/>
        <w:jc w:val="center"/>
        <w:rPr>
          <w:color w:val="auto"/>
          <w:sz w:val="24"/>
        </w:rPr>
      </w:pPr>
      <w:r>
        <w:rPr>
          <w:rFonts w:ascii="宋体"/>
          <w:color w:val="auto"/>
          <w:sz w:val="24"/>
        </w:rPr>
        <w:t>图</w:t>
      </w:r>
      <w:r>
        <w:rPr>
          <w:rFonts w:hint="eastAsia" w:ascii="宋体"/>
          <w:color w:val="auto"/>
          <w:sz w:val="24"/>
        </w:rPr>
        <w:t>5</w:t>
      </w:r>
      <w:r>
        <w:rPr>
          <w:rFonts w:hAnsi="宋体"/>
          <w:color w:val="auto"/>
          <w:sz w:val="24"/>
        </w:rPr>
        <w:t>标准表法检定示意图</w:t>
      </w:r>
    </w:p>
    <w:p>
      <w:pPr>
        <w:spacing w:line="324" w:lineRule="auto"/>
        <w:ind w:left="57"/>
        <w:rPr>
          <w:color w:val="auto"/>
          <w:sz w:val="24"/>
        </w:rPr>
      </w:pPr>
    </w:p>
    <w:p>
      <w:pPr>
        <w:tabs>
          <w:tab w:val="left" w:pos="0"/>
        </w:tabs>
        <w:spacing w:line="324" w:lineRule="auto"/>
        <w:jc w:val="center"/>
        <w:rPr>
          <w:rFonts w:hint="eastAsia"/>
          <w:color w:val="auto"/>
          <w:sz w:val="24"/>
        </w:rPr>
      </w:pPr>
      <w:r>
        <w:rPr>
          <w:rFonts w:hint="eastAsia"/>
          <w:color w:val="auto"/>
          <w:sz w:val="24"/>
        </w:rPr>
        <w:t xml:space="preserve"> </w:t>
      </w:r>
      <w:r>
        <w:rPr>
          <w:rFonts w:hint="eastAsia"/>
          <w:color w:val="auto"/>
          <w:sz w:val="24"/>
        </w:rPr>
        <w:drawing>
          <wp:inline distT="0" distB="0" distL="114300" distR="114300">
            <wp:extent cx="5163820" cy="1678940"/>
            <wp:effectExtent l="0" t="0" r="17780" b="16510"/>
            <wp:docPr id="1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5"/>
                    <pic:cNvPicPr>
                      <a:picLocks noChangeAspect="1"/>
                    </pic:cNvPicPr>
                  </pic:nvPicPr>
                  <pic:blipFill>
                    <a:blip r:embed="rId61"/>
                    <a:stretch>
                      <a:fillRect/>
                    </a:stretch>
                  </pic:blipFill>
                  <pic:spPr>
                    <a:xfrm>
                      <a:off x="0" y="0"/>
                      <a:ext cx="5163820" cy="1678940"/>
                    </a:xfrm>
                    <a:prstGeom prst="rect">
                      <a:avLst/>
                    </a:prstGeom>
                    <a:noFill/>
                    <a:ln w="9525">
                      <a:noFill/>
                    </a:ln>
                  </pic:spPr>
                </pic:pic>
              </a:graphicData>
            </a:graphic>
          </wp:inline>
        </w:drawing>
      </w:r>
    </w:p>
    <w:p>
      <w:pPr>
        <w:tabs>
          <w:tab w:val="left" w:pos="567"/>
        </w:tabs>
        <w:spacing w:line="324" w:lineRule="auto"/>
        <w:ind w:firstLine="480"/>
        <w:jc w:val="center"/>
        <w:rPr>
          <w:rFonts w:hint="eastAsia" w:ascii="宋体" w:hAnsi="宋体"/>
          <w:color w:val="auto"/>
          <w:sz w:val="24"/>
        </w:rPr>
      </w:pPr>
      <w:r>
        <w:rPr>
          <w:rFonts w:ascii="宋体" w:hAnsi="宋体"/>
          <w:color w:val="auto"/>
          <w:sz w:val="24"/>
        </w:rPr>
        <w:t>图</w:t>
      </w:r>
      <w:r>
        <w:rPr>
          <w:rFonts w:hint="eastAsia" w:ascii="宋体" w:hAnsi="宋体"/>
          <w:color w:val="auto"/>
          <w:sz w:val="24"/>
        </w:rPr>
        <w:t>6</w:t>
      </w:r>
      <w:r>
        <w:rPr>
          <w:rFonts w:ascii="宋体" w:hAnsi="宋体"/>
          <w:color w:val="auto"/>
          <w:sz w:val="24"/>
        </w:rPr>
        <w:t>临界流流量计负压法检定示意图</w:t>
      </w:r>
    </w:p>
    <w:p>
      <w:pPr>
        <w:tabs>
          <w:tab w:val="left" w:pos="567"/>
        </w:tabs>
        <w:spacing w:line="324" w:lineRule="auto"/>
        <w:ind w:firstLine="480"/>
        <w:jc w:val="center"/>
        <w:rPr>
          <w:color w:val="auto"/>
          <w:szCs w:val="21"/>
        </w:rPr>
      </w:pPr>
    </w:p>
    <w:p>
      <w:pPr>
        <w:tabs>
          <w:tab w:val="left" w:pos="567"/>
        </w:tabs>
        <w:spacing w:line="324" w:lineRule="auto"/>
        <w:jc w:val="center"/>
        <w:rPr>
          <w:color w:val="auto"/>
          <w:sz w:val="24"/>
        </w:rPr>
      </w:pPr>
      <w:r>
        <w:rPr>
          <w:color w:val="auto"/>
          <w:sz w:val="24"/>
        </w:rPr>
        <w:drawing>
          <wp:inline distT="0" distB="0" distL="114300" distR="114300">
            <wp:extent cx="4832985" cy="1485265"/>
            <wp:effectExtent l="0" t="0" r="5715" b="635"/>
            <wp:docPr id="1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
                    <pic:cNvPicPr>
                      <a:picLocks noChangeAspect="1"/>
                    </pic:cNvPicPr>
                  </pic:nvPicPr>
                  <pic:blipFill>
                    <a:blip r:embed="rId62"/>
                    <a:stretch>
                      <a:fillRect/>
                    </a:stretch>
                  </pic:blipFill>
                  <pic:spPr>
                    <a:xfrm>
                      <a:off x="0" y="0"/>
                      <a:ext cx="4832985" cy="1485265"/>
                    </a:xfrm>
                    <a:prstGeom prst="rect">
                      <a:avLst/>
                    </a:prstGeom>
                    <a:noFill/>
                    <a:ln w="9525">
                      <a:noFill/>
                    </a:ln>
                  </pic:spPr>
                </pic:pic>
              </a:graphicData>
            </a:graphic>
          </wp:inline>
        </w:drawing>
      </w:r>
    </w:p>
    <w:p>
      <w:pPr>
        <w:tabs>
          <w:tab w:val="left" w:pos="0"/>
        </w:tabs>
        <w:spacing w:line="324" w:lineRule="auto"/>
        <w:jc w:val="center"/>
        <w:rPr>
          <w:rFonts w:hint="eastAsia" w:ascii="宋体" w:hAnsi="宋体"/>
          <w:color w:val="auto"/>
          <w:sz w:val="24"/>
        </w:rPr>
      </w:pPr>
      <w:r>
        <w:rPr>
          <w:rFonts w:hint="eastAsia"/>
          <w:color w:val="auto"/>
          <w:sz w:val="24"/>
        </w:rPr>
        <w:t xml:space="preserve"> </w:t>
      </w:r>
      <w:r>
        <w:rPr>
          <w:rFonts w:ascii="宋体" w:hAnsi="宋体"/>
          <w:color w:val="auto"/>
          <w:sz w:val="24"/>
        </w:rPr>
        <w:t>图</w:t>
      </w:r>
      <w:r>
        <w:rPr>
          <w:rFonts w:hint="eastAsia" w:ascii="宋体" w:hAnsi="宋体"/>
          <w:color w:val="auto"/>
          <w:sz w:val="24"/>
        </w:rPr>
        <w:t>7</w:t>
      </w:r>
      <w:r>
        <w:rPr>
          <w:rFonts w:ascii="宋体" w:hAnsi="宋体"/>
          <w:color w:val="auto"/>
          <w:sz w:val="24"/>
        </w:rPr>
        <w:t>临界流流量计正压法检定示意图</w:t>
      </w:r>
    </w:p>
    <w:p>
      <w:pPr>
        <w:tabs>
          <w:tab w:val="left" w:pos="5572"/>
        </w:tabs>
        <w:spacing w:line="324" w:lineRule="auto"/>
        <w:ind w:firstLine="480"/>
        <w:rPr>
          <w:rFonts w:hint="eastAsia" w:hAnsi="宋体"/>
          <w:color w:val="auto"/>
          <w:sz w:val="24"/>
        </w:rPr>
      </w:pPr>
      <w:r>
        <w:rPr>
          <w:rFonts w:hint="eastAsia" w:hAnsi="宋体"/>
          <w:color w:val="auto"/>
          <w:sz w:val="24"/>
        </w:rPr>
        <w:t>b)</w:t>
      </w:r>
      <w:r>
        <w:rPr>
          <w:rFonts w:hAnsi="宋体"/>
          <w:color w:val="auto"/>
          <w:sz w:val="24"/>
        </w:rPr>
        <w:t xml:space="preserve"> 检定方法</w:t>
      </w:r>
    </w:p>
    <w:p>
      <w:pPr>
        <w:tabs>
          <w:tab w:val="left" w:pos="5572"/>
        </w:tabs>
        <w:spacing w:line="324" w:lineRule="auto"/>
        <w:ind w:firstLine="480"/>
        <w:rPr>
          <w:rFonts w:hint="eastAsia" w:hAnsi="宋体"/>
          <w:color w:val="auto"/>
          <w:sz w:val="24"/>
        </w:rPr>
      </w:pPr>
      <w:r>
        <w:rPr>
          <w:rFonts w:hint="eastAsia" w:hAnsi="宋体"/>
          <w:color w:val="auto"/>
          <w:sz w:val="24"/>
        </w:rPr>
        <w:t>应采用动态法对燃气表进行检定。</w:t>
      </w:r>
    </w:p>
    <w:p>
      <w:pPr>
        <w:tabs>
          <w:tab w:val="left" w:pos="5572"/>
        </w:tabs>
        <w:spacing w:line="324" w:lineRule="auto"/>
        <w:ind w:firstLine="480"/>
        <w:rPr>
          <w:rFonts w:hint="eastAsia"/>
          <w:color w:val="auto"/>
          <w:sz w:val="24"/>
        </w:rPr>
      </w:pPr>
      <w:r>
        <w:rPr>
          <w:rFonts w:hint="eastAsia" w:hAnsi="宋体"/>
          <w:color w:val="auto"/>
          <w:sz w:val="24"/>
        </w:rPr>
        <w:t>对</w:t>
      </w:r>
      <w:r>
        <w:rPr>
          <w:rFonts w:hint="eastAsia"/>
          <w:color w:val="auto"/>
          <w:sz w:val="24"/>
        </w:rPr>
        <w:t>脉冲（或光电）输出功能的</w:t>
      </w:r>
      <w:r>
        <w:rPr>
          <w:rFonts w:hAnsi="宋体"/>
          <w:color w:val="auto"/>
          <w:sz w:val="24"/>
        </w:rPr>
        <w:t>燃气表</w:t>
      </w:r>
      <w:r>
        <w:rPr>
          <w:rFonts w:hint="eastAsia" w:hAnsi="宋体"/>
          <w:color w:val="auto"/>
          <w:sz w:val="24"/>
        </w:rPr>
        <w:t>。将燃气表的输出信号接入标准装置的信号采集接收端，燃气表在检定流量下运行。同步</w:t>
      </w:r>
      <w:r>
        <w:rPr>
          <w:rFonts w:hAnsi="宋体"/>
          <w:color w:val="auto"/>
          <w:sz w:val="24"/>
        </w:rPr>
        <w:t>获得燃气表和标准装置的体积、压力、温度值，计算得到通过燃气表</w:t>
      </w:r>
      <w:r>
        <w:rPr>
          <w:rFonts w:hint="eastAsia" w:hAnsi="宋体"/>
          <w:color w:val="auto"/>
          <w:sz w:val="24"/>
        </w:rPr>
        <w:t>的</w:t>
      </w:r>
      <w:r>
        <w:rPr>
          <w:rFonts w:hAnsi="宋体"/>
          <w:color w:val="auto"/>
          <w:sz w:val="24"/>
        </w:rPr>
        <w:t>实际体积</w:t>
      </w:r>
      <w:r>
        <w:rPr>
          <w:color w:val="auto"/>
          <w:position w:val="-14"/>
        </w:rPr>
        <w:object>
          <v:shape id="_x0000_i1046" o:spt="75" type="#_x0000_t75" style="height:19pt;width:19pt;" o:ole="t" filled="f" stroked="f" coordsize="21600,21600">
            <v:path/>
            <v:fill on="f" focussize="0,0"/>
            <v:stroke on="f"/>
            <v:imagedata r:id="rId64" o:title=""/>
            <o:lock v:ext="edit" grouping="f" rotation="f" text="f" aspectratio="t"/>
            <w10:wrap type="none"/>
            <w10:anchorlock/>
          </v:shape>
          <o:OLEObject Type="Embed" ProgID="Equation.3" ShapeID="_x0000_i1046" DrawAspect="Content" ObjectID="_1468075746" r:id="rId63">
            <o:LockedField>false</o:LockedField>
          </o:OLEObject>
        </w:object>
      </w:r>
      <w:r>
        <w:rPr>
          <w:rFonts w:hAnsi="宋体"/>
          <w:color w:val="auto"/>
          <w:sz w:val="24"/>
        </w:rPr>
        <w:t>。</w:t>
      </w:r>
    </w:p>
    <w:p>
      <w:pPr>
        <w:tabs>
          <w:tab w:val="left" w:pos="5572"/>
        </w:tabs>
        <w:spacing w:line="324" w:lineRule="auto"/>
        <w:rPr>
          <w:rFonts w:hint="eastAsia"/>
          <w:color w:val="auto"/>
          <w:sz w:val="24"/>
        </w:rPr>
      </w:pPr>
      <w:r>
        <w:rPr>
          <w:rFonts w:hint="eastAsia"/>
          <w:color w:val="auto"/>
          <w:sz w:val="24"/>
        </w:rPr>
        <w:t>7.3.4.5仲裁检定以采用钟罩式气体流量标准装置为准。</w:t>
      </w:r>
    </w:p>
    <w:p>
      <w:pPr>
        <w:widowControl/>
        <w:numPr>
          <w:ilvl w:val="1"/>
          <w:numId w:val="8"/>
        </w:numPr>
        <w:spacing w:line="324" w:lineRule="auto"/>
        <w:jc w:val="left"/>
        <w:rPr>
          <w:rFonts w:hint="eastAsia" w:hAnsi="宋体"/>
          <w:bCs/>
          <w:color w:val="auto"/>
          <w:sz w:val="24"/>
        </w:rPr>
      </w:pPr>
      <w:r>
        <w:rPr>
          <w:rFonts w:hint="eastAsia" w:hAnsi="宋体"/>
          <w:bCs/>
          <w:color w:val="auto"/>
          <w:sz w:val="24"/>
        </w:rPr>
        <w:t>附加功能检测</w:t>
      </w:r>
    </w:p>
    <w:p>
      <w:pPr>
        <w:widowControl/>
        <w:spacing w:line="324" w:lineRule="auto"/>
        <w:jc w:val="left"/>
        <w:rPr>
          <w:rFonts w:hAnsi="宋体"/>
          <w:bCs/>
          <w:color w:val="auto"/>
          <w:sz w:val="24"/>
        </w:rPr>
      </w:pPr>
      <w:r>
        <w:rPr>
          <w:rFonts w:hint="eastAsia" w:hAnsi="宋体"/>
          <w:bCs/>
          <w:color w:val="auto"/>
          <w:sz w:val="24"/>
        </w:rPr>
        <w:t xml:space="preserve">    附加功能检测参照附录A。</w:t>
      </w:r>
    </w:p>
    <w:p>
      <w:pPr>
        <w:pStyle w:val="4"/>
        <w:keepLines w:val="0"/>
        <w:widowControl/>
        <w:numPr>
          <w:ilvl w:val="0"/>
          <w:numId w:val="3"/>
        </w:numPr>
        <w:spacing w:before="0" w:after="0" w:line="324" w:lineRule="auto"/>
        <w:jc w:val="left"/>
        <w:rPr>
          <w:rFonts w:hint="eastAsia" w:hAnsi="宋体"/>
          <w:b w:val="0"/>
          <w:color w:val="auto"/>
          <w:sz w:val="24"/>
          <w:szCs w:val="24"/>
        </w:rPr>
      </w:pPr>
      <w:bookmarkStart w:id="205" w:name="_Toc295726488"/>
      <w:bookmarkStart w:id="206" w:name="_Toc301019286"/>
      <w:bookmarkStart w:id="207" w:name="_Toc301019324"/>
      <w:bookmarkStart w:id="208" w:name="_Toc301019392"/>
      <w:bookmarkStart w:id="209" w:name="_Toc327459482"/>
      <w:bookmarkStart w:id="210" w:name="_Toc468349720"/>
      <w:r>
        <w:rPr>
          <w:rFonts w:hAnsi="宋体"/>
          <w:b w:val="0"/>
          <w:color w:val="auto"/>
          <w:sz w:val="24"/>
          <w:szCs w:val="24"/>
        </w:rPr>
        <w:t>检定结果的处理</w:t>
      </w:r>
      <w:bookmarkEnd w:id="205"/>
      <w:bookmarkEnd w:id="206"/>
      <w:bookmarkEnd w:id="207"/>
      <w:bookmarkEnd w:id="208"/>
      <w:bookmarkEnd w:id="209"/>
      <w:bookmarkEnd w:id="210"/>
    </w:p>
    <w:p>
      <w:pPr>
        <w:spacing w:line="324" w:lineRule="auto"/>
        <w:ind w:firstLine="480" w:firstLineChars="200"/>
        <w:rPr>
          <w:color w:val="auto"/>
          <w:sz w:val="24"/>
        </w:rPr>
      </w:pPr>
      <w:r>
        <w:rPr>
          <w:rFonts w:hAnsi="宋体"/>
          <w:color w:val="auto"/>
          <w:sz w:val="24"/>
        </w:rPr>
        <w:t>检定合格的燃气表发给检定证书</w:t>
      </w:r>
      <w:r>
        <w:rPr>
          <w:rFonts w:hint="eastAsia" w:hAnsi="宋体"/>
          <w:color w:val="auto"/>
          <w:sz w:val="24"/>
        </w:rPr>
        <w:t>和</w:t>
      </w:r>
      <w:r>
        <w:rPr>
          <w:rFonts w:hAnsi="宋体"/>
          <w:color w:val="auto"/>
          <w:sz w:val="24"/>
        </w:rPr>
        <w:t>加贴检定合格</w:t>
      </w:r>
      <w:r>
        <w:rPr>
          <w:rFonts w:hint="eastAsia" w:hAnsi="宋体"/>
          <w:color w:val="auto"/>
          <w:sz w:val="24"/>
        </w:rPr>
        <w:t>证，并加检定</w:t>
      </w:r>
      <w:r>
        <w:rPr>
          <w:rFonts w:hAnsi="宋体"/>
          <w:color w:val="auto"/>
          <w:sz w:val="24"/>
        </w:rPr>
        <w:t>封印标志；检定不合格的燃气表发给检定结果通知书，并注明不合格项目。</w:t>
      </w:r>
    </w:p>
    <w:p>
      <w:pPr>
        <w:pStyle w:val="4"/>
        <w:keepLines w:val="0"/>
        <w:widowControl/>
        <w:numPr>
          <w:ilvl w:val="0"/>
          <w:numId w:val="3"/>
        </w:numPr>
        <w:spacing w:before="0" w:after="0" w:line="324" w:lineRule="auto"/>
        <w:jc w:val="left"/>
        <w:rPr>
          <w:b w:val="0"/>
          <w:color w:val="auto"/>
          <w:sz w:val="24"/>
          <w:szCs w:val="24"/>
        </w:rPr>
      </w:pPr>
      <w:bookmarkStart w:id="211" w:name="_Toc295726489"/>
      <w:bookmarkStart w:id="212" w:name="_Toc301019287"/>
      <w:bookmarkStart w:id="213" w:name="_Toc301019325"/>
      <w:bookmarkStart w:id="214" w:name="_Toc301019393"/>
      <w:bookmarkStart w:id="215" w:name="_Toc327459483"/>
      <w:bookmarkStart w:id="216" w:name="_Toc468349721"/>
      <w:r>
        <w:rPr>
          <w:rFonts w:hAnsi="宋体"/>
          <w:b w:val="0"/>
          <w:color w:val="auto"/>
          <w:sz w:val="24"/>
          <w:szCs w:val="24"/>
        </w:rPr>
        <w:t>检定周期</w:t>
      </w:r>
      <w:bookmarkEnd w:id="211"/>
      <w:bookmarkEnd w:id="212"/>
      <w:bookmarkEnd w:id="213"/>
      <w:bookmarkEnd w:id="214"/>
      <w:bookmarkEnd w:id="215"/>
      <w:bookmarkEnd w:id="216"/>
    </w:p>
    <w:p>
      <w:pPr>
        <w:widowControl/>
        <w:tabs>
          <w:tab w:val="left" w:pos="993"/>
        </w:tabs>
        <w:spacing w:line="324" w:lineRule="auto"/>
        <w:jc w:val="left"/>
        <w:rPr>
          <w:rFonts w:hint="eastAsia" w:hAnsi="宋体"/>
          <w:color w:val="auto"/>
          <w:sz w:val="24"/>
        </w:rPr>
      </w:pPr>
      <w:r>
        <w:rPr>
          <w:rFonts w:hint="eastAsia" w:hAnsi="宋体"/>
          <w:color w:val="auto"/>
          <w:sz w:val="24"/>
        </w:rPr>
        <w:t>7.5.1 对于最大流</w:t>
      </w:r>
      <w:r>
        <w:rPr>
          <w:rFonts w:hAnsi="Times New Roman"/>
          <w:color w:val="auto"/>
          <w:sz w:val="24"/>
        </w:rPr>
        <w:t>量</w:t>
      </w:r>
      <w:r>
        <w:rPr>
          <w:rFonts w:hAnsi="Times New Roman"/>
          <w:i/>
          <w:iCs/>
          <w:color w:val="auto"/>
          <w:sz w:val="24"/>
        </w:rPr>
        <w:t>q</w:t>
      </w:r>
      <w:r>
        <w:rPr>
          <w:rFonts w:hAnsi="Times New Roman"/>
          <w:color w:val="auto"/>
          <w:sz w:val="24"/>
          <w:vertAlign w:val="subscript"/>
        </w:rPr>
        <w:t>max</w:t>
      </w:r>
      <w:r>
        <w:rPr>
          <w:rFonts w:hint="eastAsia" w:hAnsi="Times New Roman"/>
          <w:color w:val="auto"/>
          <w:szCs w:val="21"/>
        </w:rPr>
        <w:t>≤</w:t>
      </w:r>
      <w:r>
        <w:rPr>
          <w:rFonts w:hAnsi="Times New Roman"/>
          <w:color w:val="auto"/>
          <w:sz w:val="24"/>
        </w:rPr>
        <w:t>10 m</w:t>
      </w:r>
      <w:r>
        <w:rPr>
          <w:rFonts w:hAnsi="Times New Roman"/>
          <w:color w:val="auto"/>
          <w:sz w:val="24"/>
          <w:vertAlign w:val="superscript"/>
        </w:rPr>
        <w:t>3</w:t>
      </w:r>
      <w:r>
        <w:rPr>
          <w:rFonts w:hAnsi="Times New Roman"/>
          <w:color w:val="auto"/>
          <w:sz w:val="24"/>
        </w:rPr>
        <w:t>/h且用</w:t>
      </w:r>
      <w:r>
        <w:rPr>
          <w:rFonts w:hint="eastAsia" w:hAnsi="宋体"/>
          <w:color w:val="auto"/>
          <w:sz w:val="24"/>
        </w:rPr>
        <w:t>于贸易结算的燃气表</w:t>
      </w:r>
      <w:r>
        <w:rPr>
          <w:rFonts w:hAnsi="宋体"/>
          <w:color w:val="auto"/>
          <w:sz w:val="24"/>
        </w:rPr>
        <w:t>只作首次强制检定，限期使用，到期更换。以天然气为介质的燃气表使用期限不超过</w:t>
      </w:r>
      <w:r>
        <w:rPr>
          <w:rFonts w:hint="eastAsia"/>
          <w:color w:val="auto"/>
          <w:sz w:val="24"/>
        </w:rPr>
        <w:t>10</w:t>
      </w:r>
      <w:r>
        <w:rPr>
          <w:rFonts w:hAnsi="宋体"/>
          <w:color w:val="auto"/>
          <w:sz w:val="24"/>
        </w:rPr>
        <w:t>年。</w:t>
      </w:r>
      <w:r>
        <w:rPr>
          <w:rFonts w:hint="eastAsia" w:hAnsi="宋体"/>
          <w:color w:val="auto"/>
          <w:sz w:val="24"/>
        </w:rPr>
        <w:t>其它介质的</w:t>
      </w:r>
      <w:r>
        <w:rPr>
          <w:rFonts w:hAnsi="宋体"/>
          <w:color w:val="auto"/>
          <w:sz w:val="24"/>
        </w:rPr>
        <w:t>燃气表使用期限不超过</w:t>
      </w:r>
      <w:r>
        <w:rPr>
          <w:color w:val="auto"/>
          <w:sz w:val="24"/>
        </w:rPr>
        <w:t>6</w:t>
      </w:r>
      <w:r>
        <w:rPr>
          <w:rFonts w:hAnsi="宋体"/>
          <w:color w:val="auto"/>
          <w:sz w:val="24"/>
        </w:rPr>
        <w:t>年。</w:t>
      </w:r>
      <w:r>
        <w:rPr>
          <w:rFonts w:hint="eastAsia" w:hAnsi="宋体"/>
          <w:color w:val="auto"/>
          <w:sz w:val="24"/>
        </w:rPr>
        <w:t xml:space="preserve"> </w:t>
      </w:r>
    </w:p>
    <w:p>
      <w:pPr>
        <w:widowControl/>
        <w:tabs>
          <w:tab w:val="left" w:pos="993"/>
        </w:tabs>
        <w:spacing w:line="324" w:lineRule="auto"/>
        <w:jc w:val="left"/>
        <w:rPr>
          <w:rFonts w:hint="eastAsia" w:hAnsi="宋体"/>
          <w:color w:val="auto"/>
          <w:sz w:val="24"/>
        </w:rPr>
      </w:pPr>
      <w:r>
        <w:rPr>
          <w:rFonts w:hint="eastAsia" w:hAnsi="宋体"/>
          <w:color w:val="auto"/>
          <w:sz w:val="24"/>
        </w:rPr>
        <w:t>7.5.2 对于</w:t>
      </w:r>
      <w:r>
        <w:rPr>
          <w:rFonts w:hint="eastAsia" w:ascii="宋体" w:hAnsi="宋体"/>
          <w:color w:val="auto"/>
          <w:sz w:val="24"/>
        </w:rPr>
        <w:t>最大流</w:t>
      </w:r>
      <w:r>
        <w:rPr>
          <w:rFonts w:ascii="Times New Roman" w:hAnsi="Times New Roman"/>
          <w:color w:val="auto"/>
          <w:sz w:val="24"/>
        </w:rPr>
        <w:t>量</w:t>
      </w:r>
      <w:r>
        <w:rPr>
          <w:rFonts w:ascii="Times New Roman" w:hAnsi="Times New Roman"/>
          <w:i/>
          <w:iCs/>
          <w:color w:val="auto"/>
          <w:sz w:val="24"/>
        </w:rPr>
        <w:t>q</w:t>
      </w:r>
      <w:r>
        <w:rPr>
          <w:rFonts w:ascii="Times New Roman" w:hAnsi="Times New Roman"/>
          <w:color w:val="auto"/>
          <w:sz w:val="24"/>
          <w:vertAlign w:val="subscript"/>
        </w:rPr>
        <w:t>max</w:t>
      </w:r>
      <w:r>
        <w:rPr>
          <w:rFonts w:hint="eastAsia" w:ascii="Times New Roman" w:hAnsi="Times New Roman"/>
          <w:color w:val="auto"/>
          <w:szCs w:val="21"/>
        </w:rPr>
        <w:t>≥</w:t>
      </w:r>
      <w:r>
        <w:rPr>
          <w:rFonts w:ascii="Times New Roman" w:hAnsi="Times New Roman"/>
          <w:color w:val="auto"/>
          <w:sz w:val="24"/>
        </w:rPr>
        <w:t>1</w:t>
      </w:r>
      <w:r>
        <w:rPr>
          <w:rFonts w:hint="eastAsia" w:ascii="Times New Roman" w:hAnsi="Times New Roman"/>
          <w:color w:val="auto"/>
          <w:sz w:val="24"/>
        </w:rPr>
        <w:t>6</w:t>
      </w:r>
      <w:r>
        <w:rPr>
          <w:rFonts w:ascii="Times New Roman" w:hAnsi="Times New Roman"/>
          <w:color w:val="auto"/>
          <w:sz w:val="24"/>
        </w:rPr>
        <w:t>m</w:t>
      </w:r>
      <w:r>
        <w:rPr>
          <w:rFonts w:ascii="Times New Roman" w:hAnsi="Times New Roman"/>
          <w:color w:val="auto"/>
          <w:sz w:val="24"/>
          <w:vertAlign w:val="superscript"/>
        </w:rPr>
        <w:t>3</w:t>
      </w:r>
      <w:r>
        <w:rPr>
          <w:rFonts w:ascii="Times New Roman" w:hAnsi="Times New Roman"/>
          <w:color w:val="auto"/>
          <w:sz w:val="24"/>
        </w:rPr>
        <w:t>/h</w:t>
      </w:r>
      <w:r>
        <w:rPr>
          <w:color w:val="auto"/>
          <w:sz w:val="24"/>
        </w:rPr>
        <w:t>的燃气表的检定周期一般不超过3年。</w:t>
      </w:r>
    </w:p>
    <w:p>
      <w:pPr>
        <w:pStyle w:val="26"/>
        <w:pageBreakBefore/>
        <w:jc w:val="both"/>
        <w:rPr>
          <w:rFonts w:hint="eastAsia" w:hAnsi="宋体"/>
          <w:color w:val="auto"/>
          <w:sz w:val="28"/>
          <w:szCs w:val="28"/>
        </w:rPr>
      </w:pPr>
      <w:bookmarkStart w:id="217" w:name="_Toc468349722"/>
      <w:r>
        <w:rPr>
          <w:rFonts w:hint="eastAsia"/>
          <w:color w:val="auto"/>
          <w:sz w:val="28"/>
          <w:szCs w:val="28"/>
        </w:rPr>
        <w:t>附录A                   燃气表附加功能检测</w:t>
      </w:r>
      <w:bookmarkEnd w:id="217"/>
    </w:p>
    <w:p>
      <w:pPr>
        <w:spacing w:line="324" w:lineRule="auto"/>
        <w:ind w:right="178" w:firstLine="480" w:firstLineChars="200"/>
        <w:rPr>
          <w:rFonts w:hint="eastAsia" w:ascii="宋体" w:hAnsi="宋体"/>
          <w:bCs/>
          <w:color w:val="auto"/>
          <w:sz w:val="24"/>
        </w:rPr>
      </w:pPr>
      <w:bookmarkStart w:id="218" w:name="_Toc468349723"/>
      <w:r>
        <w:rPr>
          <w:rFonts w:hint="eastAsia" w:hAnsi="宋体"/>
          <w:color w:val="auto"/>
          <w:sz w:val="24"/>
        </w:rPr>
        <w:t>对于有附加功能的燃气表，需要根据产品说明书和产品所能达到的功能（在不破坏封印的情况下）进行检测，试验设备</w:t>
      </w:r>
      <w:r>
        <w:rPr>
          <w:rFonts w:hint="eastAsia" w:ascii="宋体" w:hAnsi="宋体"/>
          <w:bCs/>
          <w:color w:val="auto"/>
          <w:sz w:val="24"/>
        </w:rPr>
        <w:t>见表A.1。</w:t>
      </w:r>
    </w:p>
    <w:p>
      <w:pPr>
        <w:widowControl/>
        <w:tabs>
          <w:tab w:val="left" w:pos="426"/>
          <w:tab w:val="left" w:pos="3402"/>
          <w:tab w:val="left" w:pos="3969"/>
        </w:tabs>
        <w:spacing w:line="324" w:lineRule="auto"/>
        <w:jc w:val="center"/>
        <w:rPr>
          <w:rFonts w:hint="eastAsia" w:ascii="黑体" w:eastAsia="黑体"/>
          <w:color w:val="auto"/>
          <w:sz w:val="24"/>
        </w:rPr>
      </w:pPr>
      <w:r>
        <w:rPr>
          <w:rFonts w:hint="eastAsia" w:ascii="黑体" w:eastAsia="黑体"/>
          <w:bCs/>
          <w:color w:val="auto"/>
          <w:sz w:val="24"/>
        </w:rPr>
        <w:t>表</w:t>
      </w:r>
      <w:r>
        <w:rPr>
          <w:rFonts w:hint="eastAsia" w:hAnsi="宋体"/>
          <w:color w:val="auto"/>
          <w:sz w:val="24"/>
        </w:rPr>
        <w:t>A.1</w:t>
      </w:r>
      <w:r>
        <w:rPr>
          <w:rFonts w:hint="eastAsia" w:ascii="黑体" w:eastAsia="黑体"/>
          <w:bCs/>
          <w:color w:val="auto"/>
          <w:sz w:val="24"/>
        </w:rPr>
        <w:t xml:space="preserve"> </w:t>
      </w:r>
      <w:r>
        <w:rPr>
          <w:rFonts w:hint="eastAsia" w:ascii="黑体" w:hAnsi="宋体" w:eastAsia="黑体"/>
          <w:bCs/>
          <w:color w:val="auto"/>
          <w:sz w:val="24"/>
        </w:rPr>
        <w:t>试验设备</w:t>
      </w:r>
    </w:p>
    <w:tbl>
      <w:tblPr>
        <w:tblStyle w:val="18"/>
        <w:tblW w:w="881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035"/>
        <w:gridCol w:w="3229"/>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675" w:type="dxa"/>
            <w:noWrap w:val="0"/>
            <w:vAlign w:val="center"/>
          </w:tcPr>
          <w:p>
            <w:pPr>
              <w:spacing w:line="324" w:lineRule="auto"/>
              <w:jc w:val="center"/>
              <w:rPr>
                <w:color w:val="auto"/>
                <w:szCs w:val="21"/>
              </w:rPr>
            </w:pPr>
            <w:r>
              <w:rPr>
                <w:color w:val="auto"/>
                <w:szCs w:val="21"/>
              </w:rPr>
              <w:t>序号</w:t>
            </w:r>
          </w:p>
        </w:tc>
        <w:tc>
          <w:tcPr>
            <w:tcW w:w="2035" w:type="dxa"/>
            <w:noWrap w:val="0"/>
            <w:vAlign w:val="center"/>
          </w:tcPr>
          <w:p>
            <w:pPr>
              <w:spacing w:line="324" w:lineRule="auto"/>
              <w:jc w:val="center"/>
              <w:rPr>
                <w:color w:val="auto"/>
                <w:szCs w:val="21"/>
              </w:rPr>
            </w:pPr>
            <w:r>
              <w:rPr>
                <w:color w:val="auto"/>
                <w:szCs w:val="21"/>
              </w:rPr>
              <w:t>设备名称</w:t>
            </w:r>
          </w:p>
        </w:tc>
        <w:tc>
          <w:tcPr>
            <w:tcW w:w="3229" w:type="dxa"/>
            <w:noWrap w:val="0"/>
            <w:vAlign w:val="center"/>
          </w:tcPr>
          <w:p>
            <w:pPr>
              <w:spacing w:line="324" w:lineRule="auto"/>
              <w:jc w:val="center"/>
              <w:rPr>
                <w:color w:val="auto"/>
                <w:szCs w:val="21"/>
              </w:rPr>
            </w:pPr>
            <w:r>
              <w:rPr>
                <w:color w:val="auto"/>
                <w:szCs w:val="21"/>
              </w:rPr>
              <w:t>测量要求</w:t>
            </w:r>
          </w:p>
        </w:tc>
        <w:tc>
          <w:tcPr>
            <w:tcW w:w="2880" w:type="dxa"/>
            <w:noWrap w:val="0"/>
            <w:vAlign w:val="center"/>
          </w:tcPr>
          <w:p>
            <w:pPr>
              <w:spacing w:line="324" w:lineRule="auto"/>
              <w:jc w:val="center"/>
              <w:rPr>
                <w:color w:val="auto"/>
                <w:szCs w:val="21"/>
              </w:rPr>
            </w:pPr>
            <w:r>
              <w:rPr>
                <w:color w:val="auto"/>
                <w:szCs w:val="21"/>
              </w:rPr>
              <w:t>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jc w:val="center"/>
        </w:trPr>
        <w:tc>
          <w:tcPr>
            <w:tcW w:w="675" w:type="dxa"/>
            <w:noWrap w:val="0"/>
            <w:vAlign w:val="center"/>
          </w:tcPr>
          <w:p>
            <w:pPr>
              <w:spacing w:line="324" w:lineRule="auto"/>
              <w:jc w:val="center"/>
              <w:rPr>
                <w:color w:val="auto"/>
                <w:kern w:val="0"/>
                <w:szCs w:val="21"/>
              </w:rPr>
            </w:pPr>
            <w:r>
              <w:rPr>
                <w:color w:val="auto"/>
                <w:kern w:val="0"/>
                <w:szCs w:val="21"/>
              </w:rPr>
              <w:t>1</w:t>
            </w:r>
          </w:p>
        </w:tc>
        <w:tc>
          <w:tcPr>
            <w:tcW w:w="2035" w:type="dxa"/>
            <w:noWrap w:val="0"/>
            <w:vAlign w:val="center"/>
          </w:tcPr>
          <w:p>
            <w:pPr>
              <w:spacing w:line="324" w:lineRule="auto"/>
              <w:jc w:val="center"/>
              <w:rPr>
                <w:color w:val="auto"/>
                <w:kern w:val="0"/>
                <w:szCs w:val="21"/>
              </w:rPr>
            </w:pPr>
            <w:r>
              <w:rPr>
                <w:color w:val="auto"/>
                <w:kern w:val="0"/>
                <w:szCs w:val="21"/>
              </w:rPr>
              <w:t>可调直流稳压电源</w:t>
            </w:r>
          </w:p>
        </w:tc>
        <w:tc>
          <w:tcPr>
            <w:tcW w:w="3229" w:type="dxa"/>
            <w:noWrap w:val="0"/>
            <w:vAlign w:val="center"/>
          </w:tcPr>
          <w:p>
            <w:pPr>
              <w:spacing w:line="324" w:lineRule="auto"/>
              <w:jc w:val="center"/>
              <w:rPr>
                <w:color w:val="auto"/>
                <w:kern w:val="0"/>
                <w:szCs w:val="21"/>
              </w:rPr>
            </w:pPr>
            <w:r>
              <w:rPr>
                <w:color w:val="auto"/>
                <w:kern w:val="0"/>
                <w:szCs w:val="21"/>
              </w:rPr>
              <w:t>电压（0～36）V 连续可调</w:t>
            </w:r>
          </w:p>
        </w:tc>
        <w:tc>
          <w:tcPr>
            <w:tcW w:w="2880" w:type="dxa"/>
            <w:noWrap w:val="0"/>
            <w:vAlign w:val="center"/>
          </w:tcPr>
          <w:p>
            <w:pPr>
              <w:spacing w:line="324" w:lineRule="auto"/>
              <w:jc w:val="center"/>
              <w:rPr>
                <w:color w:val="auto"/>
                <w:kern w:val="0"/>
                <w:szCs w:val="21"/>
              </w:rPr>
            </w:pPr>
            <w:r>
              <w:rPr>
                <w:color w:val="auto"/>
                <w:kern w:val="0"/>
                <w:szCs w:val="21"/>
              </w:rPr>
              <w:t>控制功能、提示功能试验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 w:hRule="atLeast"/>
          <w:jc w:val="center"/>
        </w:trPr>
        <w:tc>
          <w:tcPr>
            <w:tcW w:w="675" w:type="dxa"/>
            <w:noWrap w:val="0"/>
            <w:vAlign w:val="center"/>
          </w:tcPr>
          <w:p>
            <w:pPr>
              <w:spacing w:line="324" w:lineRule="auto"/>
              <w:jc w:val="center"/>
              <w:rPr>
                <w:color w:val="auto"/>
                <w:szCs w:val="21"/>
              </w:rPr>
            </w:pPr>
            <w:r>
              <w:rPr>
                <w:color w:val="auto"/>
                <w:szCs w:val="21"/>
              </w:rPr>
              <w:t>2</w:t>
            </w:r>
          </w:p>
        </w:tc>
        <w:tc>
          <w:tcPr>
            <w:tcW w:w="2035" w:type="dxa"/>
            <w:noWrap w:val="0"/>
            <w:vAlign w:val="center"/>
          </w:tcPr>
          <w:p>
            <w:pPr>
              <w:spacing w:line="324" w:lineRule="auto"/>
              <w:jc w:val="center"/>
              <w:rPr>
                <w:color w:val="auto"/>
                <w:szCs w:val="21"/>
              </w:rPr>
            </w:pPr>
            <w:r>
              <w:rPr>
                <w:color w:val="auto"/>
                <w:kern w:val="0"/>
                <w:szCs w:val="21"/>
              </w:rPr>
              <w:t>数字万用表</w:t>
            </w:r>
          </w:p>
        </w:tc>
        <w:tc>
          <w:tcPr>
            <w:tcW w:w="3229" w:type="dxa"/>
            <w:noWrap w:val="0"/>
            <w:vAlign w:val="center"/>
          </w:tcPr>
          <w:p>
            <w:pPr>
              <w:spacing w:line="324" w:lineRule="auto"/>
              <w:jc w:val="center"/>
              <w:rPr>
                <w:color w:val="auto"/>
                <w:szCs w:val="21"/>
              </w:rPr>
            </w:pPr>
            <w:r>
              <w:rPr>
                <w:color w:val="auto"/>
                <w:spacing w:val="5"/>
              </w:rPr>
              <w:t>3位半以上</w:t>
            </w:r>
          </w:p>
        </w:tc>
        <w:tc>
          <w:tcPr>
            <w:tcW w:w="2880" w:type="dxa"/>
            <w:noWrap w:val="0"/>
            <w:vAlign w:val="center"/>
          </w:tcPr>
          <w:p>
            <w:pPr>
              <w:spacing w:line="324" w:lineRule="auto"/>
              <w:jc w:val="center"/>
              <w:rPr>
                <w:color w:val="auto"/>
                <w:szCs w:val="21"/>
              </w:rPr>
            </w:pPr>
            <w:r>
              <w:rPr>
                <w:rFonts w:hAnsi="宋体"/>
                <w:color w:val="auto"/>
                <w:kern w:val="0"/>
                <w:szCs w:val="21"/>
              </w:rPr>
              <w:t>控制功能、提示功能试验</w:t>
            </w:r>
          </w:p>
        </w:tc>
      </w:tr>
    </w:tbl>
    <w:p>
      <w:pPr>
        <w:spacing w:line="324" w:lineRule="auto"/>
        <w:ind w:right="178" w:firstLine="480"/>
        <w:rPr>
          <w:rFonts w:hint="eastAsia" w:ascii="宋体" w:hAnsi="宋体"/>
          <w:bCs/>
          <w:color w:val="auto"/>
          <w:sz w:val="24"/>
        </w:rPr>
      </w:pPr>
    </w:p>
    <w:p>
      <w:pPr>
        <w:spacing w:line="324" w:lineRule="auto"/>
        <w:ind w:right="176"/>
        <w:rPr>
          <w:rFonts w:hint="eastAsia" w:hAnsi="宋体"/>
          <w:color w:val="auto"/>
          <w:sz w:val="24"/>
        </w:rPr>
      </w:pPr>
      <w:r>
        <w:rPr>
          <w:rFonts w:hint="eastAsia" w:hAnsi="宋体"/>
          <w:color w:val="auto"/>
          <w:sz w:val="24"/>
        </w:rPr>
        <w:t>A.1 检定条件</w:t>
      </w:r>
    </w:p>
    <w:p>
      <w:pPr>
        <w:spacing w:line="324" w:lineRule="auto"/>
        <w:ind w:right="176" w:firstLine="480" w:firstLineChars="200"/>
        <w:rPr>
          <w:rFonts w:hint="eastAsia" w:hAnsi="宋体"/>
          <w:color w:val="auto"/>
          <w:sz w:val="24"/>
        </w:rPr>
      </w:pPr>
      <w:r>
        <w:rPr>
          <w:rFonts w:hint="eastAsia" w:hAnsi="宋体"/>
          <w:color w:val="auto"/>
          <w:sz w:val="24"/>
          <w:lang w:val="zh-CN"/>
        </w:rPr>
        <w:t>检测可在非检定条件下进行。</w:t>
      </w:r>
    </w:p>
    <w:p>
      <w:pPr>
        <w:spacing w:line="324" w:lineRule="auto"/>
        <w:ind w:right="176"/>
        <w:rPr>
          <w:rFonts w:hint="eastAsia" w:hAnsi="宋体"/>
          <w:color w:val="auto"/>
          <w:sz w:val="24"/>
        </w:rPr>
      </w:pPr>
      <w:r>
        <w:rPr>
          <w:rFonts w:hint="eastAsia" w:hAnsi="宋体"/>
          <w:color w:val="auto"/>
          <w:sz w:val="24"/>
        </w:rPr>
        <w:t>A.2.</w:t>
      </w:r>
      <w:r>
        <w:rPr>
          <w:rFonts w:hint="eastAsia" w:hAnsi="宋体"/>
          <w:color w:val="auto"/>
          <w:sz w:val="24"/>
          <w:lang w:val="zh-CN"/>
        </w:rPr>
        <w:t>控制功能</w:t>
      </w:r>
    </w:p>
    <w:p>
      <w:pPr>
        <w:spacing w:line="324" w:lineRule="auto"/>
        <w:ind w:right="176"/>
        <w:rPr>
          <w:rFonts w:hint="eastAsia" w:hAnsi="宋体"/>
          <w:color w:val="auto"/>
          <w:sz w:val="24"/>
        </w:rPr>
      </w:pPr>
      <w:r>
        <w:rPr>
          <w:rFonts w:hint="eastAsia" w:hAnsi="宋体"/>
          <w:color w:val="auto"/>
          <w:sz w:val="24"/>
        </w:rPr>
        <w:t>A.2.1</w:t>
      </w:r>
      <w:r>
        <w:rPr>
          <w:rFonts w:hint="eastAsia" w:hAnsi="宋体"/>
          <w:color w:val="auto"/>
          <w:sz w:val="24"/>
          <w:lang w:val="zh-CN"/>
        </w:rPr>
        <w:t>预付费和用气控制</w:t>
      </w:r>
    </w:p>
    <w:p>
      <w:pPr>
        <w:spacing w:line="324" w:lineRule="auto"/>
        <w:ind w:right="176" w:firstLine="480" w:firstLineChars="200"/>
        <w:rPr>
          <w:rFonts w:hint="eastAsia" w:hAnsi="宋体"/>
          <w:color w:val="auto"/>
          <w:sz w:val="24"/>
        </w:rPr>
      </w:pPr>
      <w:r>
        <w:rPr>
          <w:rFonts w:hint="eastAsia" w:hAnsi="宋体"/>
          <w:color w:val="auto"/>
          <w:sz w:val="24"/>
          <w:lang w:val="zh-CN"/>
        </w:rPr>
        <w:t>燃气表只要存有剩余气量就应能正常工作。当剩余气量等于或低于设定值时应能 提示并可关闭控制阀。输入购气量时，应能正确显示输入气量的值。当剩余气量大于 设定值时，应能打开控制阀恢复供气。正常用气时表内气量应准确核减。</w:t>
      </w:r>
    </w:p>
    <w:p>
      <w:pPr>
        <w:spacing w:line="324" w:lineRule="auto"/>
        <w:ind w:right="176"/>
        <w:rPr>
          <w:rFonts w:hint="eastAsia" w:hAnsi="宋体"/>
          <w:color w:val="auto"/>
          <w:sz w:val="24"/>
        </w:rPr>
      </w:pPr>
      <w:r>
        <w:rPr>
          <w:rFonts w:hint="eastAsia" w:hAnsi="宋体"/>
          <w:color w:val="auto"/>
          <w:sz w:val="24"/>
        </w:rPr>
        <w:t>A.2.2</w:t>
      </w:r>
      <w:r>
        <w:rPr>
          <w:rFonts w:hint="eastAsia" w:hAnsi="宋体"/>
          <w:color w:val="auto"/>
          <w:sz w:val="24"/>
          <w:lang w:val="zh-CN"/>
        </w:rPr>
        <w:t>无线远传功能</w:t>
      </w:r>
    </w:p>
    <w:p>
      <w:pPr>
        <w:spacing w:line="324" w:lineRule="auto"/>
        <w:ind w:right="176" w:firstLine="480" w:firstLineChars="200"/>
        <w:rPr>
          <w:rFonts w:hint="eastAsia" w:hAnsi="宋体"/>
          <w:color w:val="auto"/>
          <w:sz w:val="24"/>
        </w:rPr>
      </w:pPr>
      <w:r>
        <w:rPr>
          <w:rFonts w:hint="eastAsia" w:hAnsi="宋体"/>
          <w:color w:val="auto"/>
          <w:sz w:val="24"/>
          <w:lang w:val="zh-CN"/>
        </w:rPr>
        <w:t>对于无线远传燃气表，应检测无线抄表累积用气量、阀门控制</w:t>
      </w:r>
      <w:r>
        <w:rPr>
          <w:rFonts w:hint="eastAsia" w:ascii="宋体"/>
          <w:color w:val="auto"/>
          <w:sz w:val="24"/>
        </w:rPr>
        <w:t>（适用于带控制阀燃气表）</w:t>
      </w:r>
      <w:r>
        <w:rPr>
          <w:rFonts w:hint="eastAsia" w:hAnsi="宋体"/>
          <w:color w:val="auto"/>
          <w:sz w:val="24"/>
          <w:lang w:val="zh-CN"/>
        </w:rPr>
        <w:t>等控制功能。</w:t>
      </w:r>
    </w:p>
    <w:p>
      <w:pPr>
        <w:spacing w:line="324" w:lineRule="auto"/>
        <w:ind w:right="176" w:firstLine="480" w:firstLineChars="200"/>
        <w:rPr>
          <w:rFonts w:hint="eastAsia" w:hAnsi="宋体"/>
          <w:color w:val="auto"/>
          <w:sz w:val="24"/>
        </w:rPr>
      </w:pPr>
      <w:r>
        <w:rPr>
          <w:rFonts w:hint="eastAsia" w:hAnsi="宋体"/>
          <w:color w:val="auto"/>
          <w:sz w:val="24"/>
          <w:lang w:val="zh-CN"/>
        </w:rPr>
        <w:t>使用无线远传燃气表配用的手持单元与燃气表通讯，执行手持单元的抄表及阀门 控制功能，通讯成功后，手持单元应能正确显示燃气表累积用气量及阀门状态。</w:t>
      </w:r>
    </w:p>
    <w:p>
      <w:pPr>
        <w:spacing w:line="324" w:lineRule="auto"/>
        <w:ind w:right="176"/>
        <w:rPr>
          <w:rFonts w:hint="eastAsia" w:hAnsi="宋体"/>
          <w:color w:val="auto"/>
          <w:sz w:val="24"/>
        </w:rPr>
      </w:pPr>
      <w:r>
        <w:rPr>
          <w:rFonts w:hint="eastAsia" w:hAnsi="宋体"/>
          <w:color w:val="auto"/>
          <w:sz w:val="24"/>
        </w:rPr>
        <w:t xml:space="preserve">A.2. </w:t>
      </w:r>
      <w:r>
        <w:rPr>
          <w:rFonts w:hint="eastAsia" w:hAnsi="宋体"/>
          <w:color w:val="auto"/>
          <w:sz w:val="24"/>
          <w:lang w:val="zh-CN"/>
        </w:rPr>
        <w:t>3断电保护</w:t>
      </w:r>
    </w:p>
    <w:p>
      <w:pPr>
        <w:spacing w:line="324" w:lineRule="auto"/>
        <w:ind w:right="176" w:firstLine="480" w:firstLineChars="200"/>
        <w:rPr>
          <w:rFonts w:hint="eastAsia" w:hAnsi="宋体"/>
          <w:color w:val="auto"/>
          <w:sz w:val="24"/>
        </w:rPr>
      </w:pPr>
      <w:r>
        <w:rPr>
          <w:rFonts w:hint="eastAsia" w:hAnsi="宋体"/>
          <w:color w:val="auto"/>
          <w:sz w:val="24"/>
        </w:rPr>
        <w:t>a）</w:t>
      </w:r>
      <w:r>
        <w:rPr>
          <w:rFonts w:hint="eastAsia" w:hAnsi="宋体"/>
          <w:color w:val="auto"/>
          <w:sz w:val="24"/>
        </w:rPr>
        <w:tab/>
      </w:r>
      <w:r>
        <w:rPr>
          <w:rFonts w:hint="eastAsia" w:hAnsi="宋体"/>
          <w:color w:val="auto"/>
          <w:sz w:val="24"/>
          <w:lang w:val="zh-CN"/>
        </w:rPr>
        <w:t>燃气表断电之后应能立即关闭控制阀（适用于带控制阀燃气表），恢复供电 后应能恢复正常工作，表内累积气量或剩余气量应与关阀前完全一致。</w:t>
      </w:r>
    </w:p>
    <w:p>
      <w:pPr>
        <w:spacing w:line="324" w:lineRule="auto"/>
        <w:ind w:right="176" w:firstLine="480" w:firstLineChars="200"/>
        <w:rPr>
          <w:rFonts w:hint="eastAsia" w:hAnsi="宋体"/>
          <w:color w:val="auto"/>
          <w:sz w:val="24"/>
        </w:rPr>
      </w:pPr>
      <w:r>
        <w:rPr>
          <w:rFonts w:hint="eastAsia" w:hAnsi="宋体"/>
          <w:color w:val="auto"/>
          <w:sz w:val="24"/>
        </w:rPr>
        <w:t>b）</w:t>
      </w:r>
      <w:r>
        <w:rPr>
          <w:rFonts w:hint="eastAsia" w:hAnsi="宋体"/>
          <w:color w:val="auto"/>
          <w:sz w:val="24"/>
          <w:lang w:val="zh-CN"/>
        </w:rPr>
        <w:t>带附加功能的燃气表在预付费控制装置与读写器通讯过程中突然断电，恢 复通电后，数据传递应正常进行。</w:t>
      </w:r>
    </w:p>
    <w:p>
      <w:pPr>
        <w:spacing w:line="324" w:lineRule="auto"/>
        <w:ind w:right="176"/>
        <w:rPr>
          <w:rFonts w:hint="eastAsia" w:hAnsi="宋体"/>
          <w:color w:val="auto"/>
          <w:sz w:val="24"/>
        </w:rPr>
      </w:pPr>
      <w:r>
        <w:rPr>
          <w:rFonts w:hint="eastAsia" w:hAnsi="宋体"/>
          <w:color w:val="auto"/>
          <w:sz w:val="24"/>
        </w:rPr>
        <w:t>A.2.</w:t>
      </w:r>
      <w:r>
        <w:rPr>
          <w:rFonts w:hint="eastAsia" w:hAnsi="宋体"/>
          <w:color w:val="auto"/>
          <w:sz w:val="24"/>
          <w:lang w:val="zh-CN"/>
        </w:rPr>
        <w:t>4其它功能</w:t>
      </w:r>
    </w:p>
    <w:p>
      <w:pPr>
        <w:spacing w:line="324" w:lineRule="auto"/>
        <w:ind w:right="176" w:firstLine="480" w:firstLineChars="200"/>
        <w:rPr>
          <w:rFonts w:hint="eastAsia" w:hAnsi="宋体"/>
          <w:color w:val="auto"/>
          <w:sz w:val="24"/>
        </w:rPr>
      </w:pPr>
      <w:r>
        <w:rPr>
          <w:rFonts w:hint="eastAsia" w:hAnsi="宋体"/>
          <w:color w:val="auto"/>
          <w:sz w:val="24"/>
          <w:lang w:val="zh-CN"/>
        </w:rPr>
        <w:t>其他功能应符合产品说明书（或者企业标准）明示的要求。</w:t>
      </w:r>
    </w:p>
    <w:p>
      <w:pPr>
        <w:spacing w:line="324" w:lineRule="auto"/>
        <w:ind w:right="176"/>
        <w:rPr>
          <w:rFonts w:hint="eastAsia" w:hAnsi="宋体"/>
          <w:color w:val="auto"/>
          <w:sz w:val="24"/>
        </w:rPr>
      </w:pPr>
      <w:r>
        <w:rPr>
          <w:rFonts w:hint="eastAsia" w:hAnsi="宋体"/>
          <w:color w:val="auto"/>
          <w:sz w:val="24"/>
        </w:rPr>
        <w:t>A.3检测方法</w:t>
      </w:r>
    </w:p>
    <w:p>
      <w:pPr>
        <w:spacing w:line="324" w:lineRule="auto"/>
        <w:ind w:right="176" w:firstLine="480" w:firstLineChars="200"/>
        <w:rPr>
          <w:rFonts w:hint="eastAsia" w:hAnsi="宋体"/>
          <w:color w:val="auto"/>
          <w:sz w:val="24"/>
        </w:rPr>
      </w:pPr>
      <w:r>
        <w:rPr>
          <w:rFonts w:hint="eastAsia" w:hAnsi="宋体"/>
          <w:color w:val="auto"/>
          <w:sz w:val="24"/>
          <w:lang w:val="zh-CN"/>
        </w:rPr>
        <w:t>采用由制造商提供的专用检测工具和使用说明书，逐一检查各项功能。</w:t>
      </w:r>
    </w:p>
    <w:p>
      <w:pPr>
        <w:spacing w:line="324" w:lineRule="auto"/>
        <w:ind w:right="176"/>
        <w:rPr>
          <w:rFonts w:hint="eastAsia" w:hAnsi="宋体"/>
          <w:color w:val="auto"/>
          <w:sz w:val="24"/>
        </w:rPr>
      </w:pPr>
      <w:r>
        <w:rPr>
          <w:rFonts w:hint="eastAsia" w:hAnsi="宋体"/>
          <w:color w:val="auto"/>
          <w:sz w:val="24"/>
        </w:rPr>
        <w:t>A.4结果处理</w:t>
      </w:r>
    </w:p>
    <w:p>
      <w:pPr>
        <w:spacing w:line="324" w:lineRule="auto"/>
        <w:ind w:right="176" w:firstLine="480" w:firstLineChars="200"/>
        <w:rPr>
          <w:rFonts w:hint="eastAsia"/>
          <w:color w:val="auto"/>
          <w:sz w:val="28"/>
          <w:szCs w:val="28"/>
        </w:rPr>
      </w:pPr>
      <w:r>
        <w:rPr>
          <w:rFonts w:hint="eastAsia" w:hAnsi="宋体"/>
          <w:color w:val="auto"/>
          <w:sz w:val="24"/>
          <w:lang w:val="zh-CN"/>
        </w:rPr>
        <w:t>燃气表的各项功能相符要求，判定为合格；有一项以上（含一项）项目不相符要 求，判定为不合格。</w:t>
      </w:r>
    </w:p>
    <w:p>
      <w:pPr>
        <w:pStyle w:val="26"/>
        <w:pageBreakBefore/>
        <w:jc w:val="both"/>
        <w:rPr>
          <w:rFonts w:hint="eastAsia"/>
          <w:color w:val="auto"/>
          <w:sz w:val="28"/>
          <w:szCs w:val="28"/>
        </w:rPr>
      </w:pPr>
      <w:r>
        <w:rPr>
          <w:rFonts w:hint="eastAsia"/>
          <w:color w:val="auto"/>
          <w:sz w:val="28"/>
          <w:szCs w:val="28"/>
        </w:rPr>
        <w:t>附录B                  检定记录信息及格式</w:t>
      </w:r>
    </w:p>
    <w:p>
      <w:pPr>
        <w:adjustRightInd w:val="0"/>
        <w:snapToGrid w:val="0"/>
        <w:ind w:right="-405" w:rightChars="-193"/>
        <w:rPr>
          <w:rFonts w:hint="eastAsia"/>
          <w:color w:val="auto"/>
          <w:szCs w:val="21"/>
          <w:u w:val="single"/>
        </w:rPr>
      </w:pPr>
      <w:r>
        <w:rPr>
          <w:rFonts w:hint="eastAsia"/>
          <w:color w:val="auto"/>
          <w:szCs w:val="21"/>
        </w:rPr>
        <w:t>送检单位：</w:t>
      </w:r>
      <w:r>
        <w:rPr>
          <w:color w:val="auto"/>
          <w:szCs w:val="21"/>
          <w:u w:val="single"/>
        </w:rPr>
        <w:t xml:space="preserve">  </w:t>
      </w:r>
      <w:r>
        <w:rPr>
          <w:rFonts w:hint="eastAsia"/>
          <w:color w:val="auto"/>
          <w:szCs w:val="21"/>
          <w:u w:val="single"/>
        </w:rPr>
        <w:t xml:space="preserve">                        </w:t>
      </w:r>
      <w:r>
        <w:rPr>
          <w:color w:val="auto"/>
          <w:szCs w:val="21"/>
          <w:u w:val="single"/>
        </w:rPr>
        <w:t xml:space="preserve"> </w:t>
      </w:r>
      <w:r>
        <w:rPr>
          <w:rFonts w:hint="eastAsia"/>
          <w:color w:val="auto"/>
          <w:szCs w:val="21"/>
        </w:rPr>
        <w:t>检定记录编号：</w:t>
      </w:r>
      <w:r>
        <w:rPr>
          <w:rFonts w:hint="eastAsia"/>
          <w:color w:val="auto"/>
          <w:szCs w:val="21"/>
          <w:u w:val="single"/>
        </w:rPr>
        <w:t xml:space="preserve">                     </w:t>
      </w:r>
    </w:p>
    <w:p>
      <w:pPr>
        <w:adjustRightInd w:val="0"/>
        <w:snapToGrid w:val="0"/>
        <w:ind w:right="-405" w:rightChars="-193"/>
        <w:rPr>
          <w:rFonts w:hint="eastAsia"/>
          <w:color w:val="auto"/>
          <w:szCs w:val="21"/>
        </w:rPr>
      </w:pPr>
      <w:r>
        <w:rPr>
          <w:rFonts w:hint="eastAsia"/>
          <w:color w:val="auto"/>
          <w:szCs w:val="21"/>
        </w:rPr>
        <w:t>证书单位：</w:t>
      </w:r>
      <w:r>
        <w:rPr>
          <w:color w:val="auto"/>
          <w:szCs w:val="21"/>
          <w:u w:val="single"/>
        </w:rPr>
        <w:t xml:space="preserve">  </w:t>
      </w:r>
      <w:r>
        <w:rPr>
          <w:rFonts w:hint="eastAsia"/>
          <w:color w:val="auto"/>
          <w:szCs w:val="21"/>
          <w:u w:val="single"/>
        </w:rPr>
        <w:t xml:space="preserve">                        </w:t>
      </w:r>
      <w:r>
        <w:rPr>
          <w:color w:val="auto"/>
          <w:szCs w:val="21"/>
          <w:u w:val="single"/>
        </w:rPr>
        <w:t xml:space="preserve"> </w:t>
      </w:r>
      <w:r>
        <w:rPr>
          <w:rFonts w:hint="eastAsia"/>
          <w:color w:val="auto"/>
          <w:szCs w:val="21"/>
        </w:rPr>
        <w:t>准确度等级：</w:t>
      </w:r>
      <w:r>
        <w:rPr>
          <w:rFonts w:hint="eastAsia"/>
          <w:color w:val="auto"/>
          <w:szCs w:val="21"/>
          <w:u w:val="single"/>
        </w:rPr>
        <w:t xml:space="preserve">                       </w:t>
      </w:r>
    </w:p>
    <w:p>
      <w:pPr>
        <w:adjustRightInd w:val="0"/>
        <w:snapToGrid w:val="0"/>
        <w:ind w:right="-193"/>
        <w:rPr>
          <w:rFonts w:hint="eastAsia"/>
          <w:color w:val="auto"/>
          <w:szCs w:val="21"/>
        </w:rPr>
      </w:pPr>
      <w:r>
        <w:rPr>
          <w:rFonts w:hint="eastAsia"/>
          <w:color w:val="auto"/>
          <w:szCs w:val="21"/>
        </w:rPr>
        <w:t>型号规格：</w:t>
      </w:r>
      <w:r>
        <w:rPr>
          <w:rFonts w:hint="eastAsia"/>
          <w:color w:val="auto"/>
          <w:szCs w:val="21"/>
          <w:u w:val="single"/>
        </w:rPr>
        <w:t xml:space="preserve">                           </w:t>
      </w:r>
      <w:r>
        <w:rPr>
          <w:rFonts w:hint="eastAsia"/>
          <w:color w:val="auto"/>
          <w:szCs w:val="21"/>
        </w:rPr>
        <w:t>计量器具名称：</w:t>
      </w:r>
      <w:r>
        <w:rPr>
          <w:rFonts w:hint="eastAsia"/>
          <w:color w:val="auto"/>
          <w:szCs w:val="21"/>
          <w:u w:val="single"/>
        </w:rPr>
        <w:t xml:space="preserve">                     </w:t>
      </w:r>
    </w:p>
    <w:p>
      <w:pPr>
        <w:adjustRightInd w:val="0"/>
        <w:snapToGrid w:val="0"/>
        <w:ind w:right="-193"/>
        <w:rPr>
          <w:rFonts w:hint="eastAsia"/>
          <w:color w:val="auto"/>
          <w:szCs w:val="21"/>
        </w:rPr>
      </w:pPr>
      <w:r>
        <w:rPr>
          <w:rFonts w:hint="eastAsia"/>
          <w:color w:val="auto"/>
          <w:szCs w:val="21"/>
        </w:rPr>
        <w:t>制造厂：</w:t>
      </w:r>
      <w:r>
        <w:rPr>
          <w:color w:val="auto"/>
          <w:szCs w:val="21"/>
          <w:u w:val="single"/>
        </w:rPr>
        <w:t xml:space="preserve"> </w:t>
      </w:r>
      <w:r>
        <w:rPr>
          <w:rFonts w:hint="eastAsia"/>
          <w:color w:val="auto"/>
          <w:szCs w:val="21"/>
          <w:u w:val="single"/>
        </w:rPr>
        <w:t xml:space="preserve">                          </w:t>
      </w:r>
      <w:r>
        <w:rPr>
          <w:color w:val="auto"/>
          <w:szCs w:val="21"/>
          <w:u w:val="single"/>
        </w:rPr>
        <w:t xml:space="preserve">  </w:t>
      </w:r>
      <w:r>
        <w:rPr>
          <w:rFonts w:hint="eastAsia"/>
          <w:color w:val="auto"/>
          <w:szCs w:val="21"/>
        </w:rPr>
        <w:t>出厂编号：</w:t>
      </w:r>
      <w:r>
        <w:rPr>
          <w:rFonts w:hint="eastAsia"/>
          <w:color w:val="auto"/>
          <w:szCs w:val="21"/>
          <w:u w:val="single"/>
        </w:rPr>
        <w:t xml:space="preserve">                         </w:t>
      </w:r>
    </w:p>
    <w:p>
      <w:pPr>
        <w:adjustRightInd w:val="0"/>
        <w:snapToGrid w:val="0"/>
        <w:ind w:right="-193"/>
        <w:rPr>
          <w:rFonts w:hint="eastAsia"/>
          <w:color w:val="auto"/>
          <w:szCs w:val="21"/>
          <w:u w:val="single"/>
        </w:rPr>
      </w:pPr>
      <w:r>
        <w:rPr>
          <w:rFonts w:hint="eastAsia"/>
          <w:color w:val="auto"/>
          <w:szCs w:val="21"/>
        </w:rPr>
        <w:t>检定依据（代号）：</w:t>
      </w:r>
      <w:r>
        <w:rPr>
          <w:rFonts w:hint="eastAsia"/>
          <w:color w:val="auto"/>
          <w:szCs w:val="21"/>
          <w:u w:val="single"/>
        </w:rPr>
        <w:t xml:space="preserve">                    </w:t>
      </w:r>
      <w:r>
        <w:rPr>
          <w:rFonts w:hint="eastAsia"/>
          <w:color w:val="auto"/>
          <w:szCs w:val="21"/>
        </w:rPr>
        <w:t>检定介质：</w:t>
      </w:r>
      <w:r>
        <w:rPr>
          <w:rFonts w:hint="eastAsia"/>
          <w:color w:val="auto"/>
          <w:szCs w:val="21"/>
          <w:u w:val="single"/>
        </w:rPr>
        <w:t xml:space="preserve">            </w:t>
      </w:r>
      <w:r>
        <w:rPr>
          <w:rFonts w:hint="eastAsia"/>
          <w:color w:val="auto"/>
          <w:szCs w:val="21"/>
        </w:rPr>
        <w:t>商标：</w:t>
      </w:r>
      <w:r>
        <w:rPr>
          <w:rFonts w:hint="eastAsia"/>
          <w:color w:val="auto"/>
          <w:szCs w:val="21"/>
          <w:u w:val="single"/>
        </w:rPr>
        <w:t xml:space="preserve">        </w:t>
      </w:r>
    </w:p>
    <w:p>
      <w:pPr>
        <w:rPr>
          <w:rFonts w:hint="eastAsia"/>
          <w:color w:val="auto"/>
          <w:szCs w:val="21"/>
          <w:u w:val="single"/>
        </w:rPr>
      </w:pPr>
      <w:r>
        <w:rPr>
          <w:rFonts w:hint="eastAsia"/>
          <w:color w:val="auto"/>
          <w:szCs w:val="21"/>
        </w:rPr>
        <w:t>环境条件：</w:t>
      </w:r>
      <w:r>
        <w:rPr>
          <w:rFonts w:hint="eastAsia"/>
          <w:color w:val="auto"/>
          <w:szCs w:val="21"/>
          <w:u w:val="single"/>
        </w:rPr>
        <w:t xml:space="preserve">                </w:t>
      </w:r>
      <w:r>
        <w:rPr>
          <w:rFonts w:hint="eastAsia"/>
          <w:color w:val="auto"/>
          <w:szCs w:val="21"/>
        </w:rPr>
        <w:t>钟罩内液温：</w:t>
      </w:r>
      <w:r>
        <w:rPr>
          <w:rFonts w:hint="eastAsia"/>
          <w:color w:val="auto"/>
          <w:szCs w:val="21"/>
          <w:u w:val="single"/>
        </w:rPr>
        <w:t xml:space="preserve">        </w:t>
      </w:r>
      <w:r>
        <w:rPr>
          <w:rFonts w:hint="eastAsia" w:ascii="宋体" w:hAnsi="宋体"/>
          <w:color w:val="auto"/>
          <w:szCs w:val="21"/>
          <w:u w:val="single"/>
        </w:rPr>
        <w:t xml:space="preserve"> </w:t>
      </w:r>
      <w:r>
        <w:rPr>
          <w:rFonts w:hint="eastAsia" w:ascii="宋体" w:hAnsi="宋体"/>
          <w:color w:val="auto"/>
          <w:szCs w:val="21"/>
        </w:rPr>
        <w:t>℃</w:t>
      </w:r>
      <w:r>
        <w:rPr>
          <w:rFonts w:hint="eastAsia"/>
          <w:color w:val="auto"/>
          <w:szCs w:val="21"/>
        </w:rPr>
        <w:t xml:space="preserve">   介质温度：</w:t>
      </w:r>
      <w:r>
        <w:rPr>
          <w:rFonts w:hint="eastAsia"/>
          <w:color w:val="auto"/>
          <w:szCs w:val="21"/>
          <w:u w:val="single"/>
        </w:rPr>
        <w:t xml:space="preserve">        </w:t>
      </w:r>
      <w:r>
        <w:rPr>
          <w:rFonts w:hint="eastAsia" w:ascii="宋体" w:hAnsi="宋体"/>
          <w:color w:val="auto"/>
          <w:szCs w:val="21"/>
        </w:rPr>
        <w:t>℃</w:t>
      </w:r>
    </w:p>
    <w:tbl>
      <w:tblPr>
        <w:tblStyle w:val="18"/>
        <w:tblW w:w="10321" w:type="dxa"/>
        <w:tblInd w:w="-43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4"/>
        <w:gridCol w:w="709"/>
        <w:gridCol w:w="992"/>
        <w:gridCol w:w="1134"/>
        <w:gridCol w:w="850"/>
        <w:gridCol w:w="851"/>
        <w:gridCol w:w="992"/>
        <w:gridCol w:w="815"/>
        <w:gridCol w:w="319"/>
        <w:gridCol w:w="851"/>
        <w:gridCol w:w="708"/>
        <w:gridCol w:w="284"/>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19" w:hRule="atLeast"/>
        </w:trPr>
        <w:tc>
          <w:tcPr>
            <w:tcW w:w="1533" w:type="dxa"/>
            <w:gridSpan w:val="2"/>
            <w:tcBorders>
              <w:top w:val="single" w:color="auto" w:sz="8" w:space="0"/>
              <w:left w:val="single" w:color="auto" w:sz="8" w:space="0"/>
            </w:tcBorders>
            <w:noWrap w:val="0"/>
            <w:vAlign w:val="center"/>
          </w:tcPr>
          <w:p>
            <w:pPr>
              <w:jc w:val="left"/>
              <w:rPr>
                <w:rFonts w:hint="eastAsia"/>
                <w:color w:val="auto"/>
                <w:szCs w:val="21"/>
              </w:rPr>
            </w:pPr>
            <w:r>
              <w:rPr>
                <w:rFonts w:hint="eastAsia"/>
                <w:color w:val="auto"/>
                <w:szCs w:val="21"/>
              </w:rPr>
              <w:t>1、外观及标识</w:t>
            </w:r>
          </w:p>
        </w:tc>
        <w:tc>
          <w:tcPr>
            <w:tcW w:w="8788" w:type="dxa"/>
            <w:gridSpan w:val="11"/>
            <w:tcBorders>
              <w:top w:val="single" w:color="auto" w:sz="8" w:space="0"/>
              <w:right w:val="single" w:color="auto" w:sz="8" w:space="0"/>
            </w:tcBorders>
            <w:noWrap w:val="0"/>
            <w:vAlign w:val="center"/>
          </w:tcPr>
          <w:p>
            <w:pPr>
              <w:adjustRightInd w:val="0"/>
              <w:snapToGrid w:val="0"/>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19" w:hRule="atLeast"/>
        </w:trPr>
        <w:tc>
          <w:tcPr>
            <w:tcW w:w="1533" w:type="dxa"/>
            <w:gridSpan w:val="2"/>
            <w:tcBorders>
              <w:top w:val="single" w:color="auto" w:sz="8" w:space="0"/>
              <w:left w:val="single" w:color="auto" w:sz="8" w:space="0"/>
            </w:tcBorders>
            <w:noWrap w:val="0"/>
            <w:vAlign w:val="center"/>
          </w:tcPr>
          <w:p>
            <w:pPr>
              <w:jc w:val="left"/>
              <w:rPr>
                <w:rFonts w:hint="eastAsia"/>
                <w:color w:val="auto"/>
                <w:szCs w:val="21"/>
              </w:rPr>
            </w:pPr>
            <w:r>
              <w:rPr>
                <w:rFonts w:hint="eastAsia"/>
                <w:color w:val="auto"/>
                <w:szCs w:val="21"/>
              </w:rPr>
              <w:t>2、密封性</w:t>
            </w:r>
          </w:p>
        </w:tc>
        <w:tc>
          <w:tcPr>
            <w:tcW w:w="8788" w:type="dxa"/>
            <w:gridSpan w:val="11"/>
            <w:tcBorders>
              <w:top w:val="single" w:color="auto" w:sz="8" w:space="0"/>
              <w:right w:val="single" w:color="auto" w:sz="8" w:space="0"/>
            </w:tcBorders>
            <w:noWrap w:val="0"/>
            <w:vAlign w:val="center"/>
          </w:tcPr>
          <w:p>
            <w:pPr>
              <w:adjustRightInd w:val="0"/>
              <w:snapToGrid w:val="0"/>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19" w:hRule="atLeast"/>
        </w:trPr>
        <w:tc>
          <w:tcPr>
            <w:tcW w:w="1533" w:type="dxa"/>
            <w:gridSpan w:val="2"/>
            <w:tcBorders>
              <w:top w:val="single" w:color="auto" w:sz="8" w:space="0"/>
              <w:left w:val="single" w:color="auto" w:sz="8" w:space="0"/>
            </w:tcBorders>
            <w:noWrap w:val="0"/>
            <w:vAlign w:val="center"/>
          </w:tcPr>
          <w:p>
            <w:pPr>
              <w:jc w:val="left"/>
              <w:rPr>
                <w:rFonts w:hint="eastAsia"/>
                <w:color w:val="auto"/>
                <w:szCs w:val="21"/>
              </w:rPr>
            </w:pPr>
            <w:r>
              <w:rPr>
                <w:rFonts w:hint="eastAsia"/>
                <w:color w:val="auto"/>
                <w:szCs w:val="21"/>
              </w:rPr>
              <w:t>3、压力损失</w:t>
            </w:r>
          </w:p>
        </w:tc>
        <w:tc>
          <w:tcPr>
            <w:tcW w:w="8788" w:type="dxa"/>
            <w:gridSpan w:val="11"/>
            <w:tcBorders>
              <w:top w:val="single" w:color="auto" w:sz="8" w:space="0"/>
              <w:right w:val="single" w:color="auto" w:sz="8" w:space="0"/>
            </w:tcBorders>
            <w:noWrap w:val="0"/>
            <w:vAlign w:val="center"/>
          </w:tcPr>
          <w:p>
            <w:pPr>
              <w:adjustRightInd w:val="0"/>
              <w:snapToGrid w:val="0"/>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03" w:hRule="atLeast"/>
        </w:trPr>
        <w:tc>
          <w:tcPr>
            <w:tcW w:w="1533" w:type="dxa"/>
            <w:gridSpan w:val="2"/>
            <w:tcBorders>
              <w:left w:val="single" w:color="auto" w:sz="8" w:space="0"/>
              <w:bottom w:val="single" w:color="auto" w:sz="4" w:space="0"/>
            </w:tcBorders>
            <w:noWrap w:val="0"/>
            <w:vAlign w:val="center"/>
          </w:tcPr>
          <w:p>
            <w:pPr>
              <w:jc w:val="left"/>
              <w:rPr>
                <w:rFonts w:hint="eastAsia"/>
                <w:color w:val="auto"/>
                <w:szCs w:val="21"/>
              </w:rPr>
            </w:pPr>
            <w:r>
              <w:rPr>
                <w:rFonts w:hint="eastAsia"/>
                <w:color w:val="auto"/>
                <w:szCs w:val="21"/>
              </w:rPr>
              <w:t>4、示值误差</w:t>
            </w:r>
          </w:p>
        </w:tc>
        <w:tc>
          <w:tcPr>
            <w:tcW w:w="3827" w:type="dxa"/>
            <w:gridSpan w:val="4"/>
            <w:tcBorders>
              <w:bottom w:val="single" w:color="auto" w:sz="4" w:space="0"/>
              <w:right w:val="single" w:color="auto" w:sz="4" w:space="0"/>
            </w:tcBorders>
            <w:noWrap w:val="0"/>
            <w:vAlign w:val="center"/>
          </w:tcPr>
          <w:p>
            <w:pPr>
              <w:adjustRightInd w:val="0"/>
              <w:snapToGrid w:val="0"/>
              <w:ind w:left="72"/>
              <w:jc w:val="center"/>
              <w:rPr>
                <w:rFonts w:hint="eastAsia"/>
                <w:color w:val="auto"/>
                <w:szCs w:val="21"/>
              </w:rPr>
            </w:pPr>
            <w:r>
              <w:rPr>
                <w:rFonts w:hint="eastAsia"/>
                <w:color w:val="auto"/>
                <w:szCs w:val="21"/>
              </w:rPr>
              <w:t>燃气表读数</w:t>
            </w:r>
          </w:p>
        </w:tc>
        <w:tc>
          <w:tcPr>
            <w:tcW w:w="3969" w:type="dxa"/>
            <w:gridSpan w:val="6"/>
            <w:tcBorders>
              <w:left w:val="single" w:color="auto" w:sz="4" w:space="0"/>
              <w:bottom w:val="single" w:color="auto" w:sz="4" w:space="0"/>
            </w:tcBorders>
            <w:noWrap w:val="0"/>
            <w:vAlign w:val="center"/>
          </w:tcPr>
          <w:p>
            <w:pPr>
              <w:adjustRightInd w:val="0"/>
              <w:snapToGrid w:val="0"/>
              <w:jc w:val="center"/>
              <w:rPr>
                <w:rFonts w:hint="eastAsia"/>
                <w:color w:val="auto"/>
                <w:szCs w:val="21"/>
              </w:rPr>
            </w:pPr>
            <w:r>
              <w:rPr>
                <w:rFonts w:hint="eastAsia"/>
                <w:color w:val="auto"/>
                <w:szCs w:val="21"/>
              </w:rPr>
              <w:t>标准器读数</w:t>
            </w:r>
          </w:p>
        </w:tc>
        <w:tc>
          <w:tcPr>
            <w:tcW w:w="992" w:type="dxa"/>
            <w:vMerge w:val="restart"/>
            <w:tcBorders>
              <w:right w:val="single" w:color="auto" w:sz="8" w:space="0"/>
            </w:tcBorders>
            <w:noWrap w:val="0"/>
            <w:vAlign w:val="center"/>
          </w:tcPr>
          <w:p>
            <w:pPr>
              <w:adjustRightInd w:val="0"/>
              <w:snapToGrid w:val="0"/>
              <w:jc w:val="center"/>
              <w:rPr>
                <w:rFonts w:hint="eastAsia"/>
                <w:color w:val="auto"/>
                <w:szCs w:val="21"/>
              </w:rPr>
            </w:pPr>
            <w:r>
              <w:rPr>
                <w:rFonts w:hint="eastAsia"/>
                <w:color w:val="auto"/>
                <w:szCs w:val="21"/>
              </w:rPr>
              <w:t>示值误差</w:t>
            </w:r>
          </w:p>
          <w:p>
            <w:pPr>
              <w:jc w:val="center"/>
              <w:rPr>
                <w:color w:val="auto"/>
                <w:szCs w:val="21"/>
              </w:rPr>
            </w:pPr>
            <w:r>
              <w:rPr>
                <w:rFonts w:hint="eastAsia"/>
                <w:color w:val="auto"/>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41" w:hRule="atLeast"/>
        </w:trPr>
        <w:tc>
          <w:tcPr>
            <w:tcW w:w="1533" w:type="dxa"/>
            <w:gridSpan w:val="2"/>
            <w:tcBorders>
              <w:top w:val="single" w:color="auto" w:sz="4" w:space="0"/>
              <w:left w:val="single" w:color="auto" w:sz="8" w:space="0"/>
              <w:bottom w:val="single" w:color="auto" w:sz="4" w:space="0"/>
            </w:tcBorders>
            <w:noWrap w:val="0"/>
            <w:vAlign w:val="center"/>
          </w:tcPr>
          <w:p>
            <w:pPr>
              <w:jc w:val="center"/>
              <w:rPr>
                <w:rFonts w:hint="eastAsia"/>
                <w:color w:val="auto"/>
                <w:szCs w:val="21"/>
              </w:rPr>
            </w:pPr>
            <w:r>
              <w:rPr>
                <w:rFonts w:hint="eastAsia"/>
                <w:color w:val="auto"/>
                <w:szCs w:val="21"/>
              </w:rPr>
              <w:t>流量点</w:t>
            </w:r>
          </w:p>
          <w:p>
            <w:pPr>
              <w:jc w:val="center"/>
              <w:rPr>
                <w:rFonts w:hint="eastAsia"/>
                <w:color w:val="auto"/>
                <w:szCs w:val="21"/>
              </w:rPr>
            </w:pPr>
            <w:r>
              <w:rPr>
                <w:rFonts w:hint="eastAsia"/>
                <w:color w:val="auto"/>
                <w:szCs w:val="21"/>
              </w:rPr>
              <w:t>（</w:t>
            </w:r>
            <w:r>
              <w:rPr>
                <w:color w:val="auto"/>
                <w:szCs w:val="21"/>
              </w:rPr>
              <w:t>m</w:t>
            </w:r>
            <w:r>
              <w:rPr>
                <w:color w:val="auto"/>
                <w:szCs w:val="21"/>
                <w:vertAlign w:val="superscript"/>
              </w:rPr>
              <w:t>3</w:t>
            </w:r>
            <w:r>
              <w:rPr>
                <w:color w:val="auto"/>
                <w:szCs w:val="21"/>
              </w:rPr>
              <w:t>/h</w:t>
            </w:r>
            <w:r>
              <w:rPr>
                <w:rFonts w:hint="eastAsia"/>
                <w:color w:val="auto"/>
                <w:szCs w:val="21"/>
              </w:rPr>
              <w:t>）</w:t>
            </w:r>
          </w:p>
        </w:tc>
        <w:tc>
          <w:tcPr>
            <w:tcW w:w="992" w:type="dxa"/>
            <w:tcBorders>
              <w:top w:val="single" w:color="auto" w:sz="4" w:space="0"/>
              <w:right w:val="single" w:color="auto" w:sz="4" w:space="0"/>
            </w:tcBorders>
            <w:noWrap w:val="0"/>
            <w:vAlign w:val="center"/>
          </w:tcPr>
          <w:p>
            <w:pPr>
              <w:adjustRightInd w:val="0"/>
              <w:snapToGrid w:val="0"/>
              <w:ind w:left="-57" w:right="-105" w:rightChars="-50"/>
              <w:jc w:val="center"/>
              <w:rPr>
                <w:rFonts w:hint="eastAsia"/>
                <w:color w:val="auto"/>
                <w:szCs w:val="21"/>
              </w:rPr>
            </w:pPr>
            <w:r>
              <w:rPr>
                <w:rFonts w:hint="eastAsia"/>
                <w:color w:val="auto"/>
                <w:szCs w:val="21"/>
              </w:rPr>
              <w:t>开始读数</w:t>
            </w:r>
          </w:p>
          <w:p>
            <w:pPr>
              <w:adjustRightInd w:val="0"/>
              <w:snapToGrid w:val="0"/>
              <w:ind w:left="-57" w:right="-105" w:rightChars="-50"/>
              <w:jc w:val="center"/>
              <w:rPr>
                <w:rFonts w:hint="eastAsia"/>
                <w:color w:val="auto"/>
                <w:szCs w:val="21"/>
              </w:rPr>
            </w:pPr>
            <w:r>
              <w:rPr>
                <w:rFonts w:hint="eastAsia"/>
                <w:color w:val="auto"/>
                <w:szCs w:val="21"/>
              </w:rPr>
              <w:t>（ L ）</w:t>
            </w:r>
          </w:p>
        </w:tc>
        <w:tc>
          <w:tcPr>
            <w:tcW w:w="1134" w:type="dxa"/>
            <w:tcBorders>
              <w:top w:val="single" w:color="auto" w:sz="4" w:space="0"/>
              <w:left w:val="single" w:color="auto" w:sz="4" w:space="0"/>
              <w:right w:val="single" w:color="auto" w:sz="4" w:space="0"/>
            </w:tcBorders>
            <w:noWrap w:val="0"/>
            <w:vAlign w:val="center"/>
          </w:tcPr>
          <w:p>
            <w:pPr>
              <w:adjustRightInd w:val="0"/>
              <w:snapToGrid w:val="0"/>
              <w:ind w:left="-57" w:right="-105" w:rightChars="-50"/>
              <w:jc w:val="center"/>
              <w:rPr>
                <w:rFonts w:hint="eastAsia"/>
                <w:color w:val="auto"/>
                <w:szCs w:val="21"/>
              </w:rPr>
            </w:pPr>
            <w:r>
              <w:rPr>
                <w:rFonts w:hint="eastAsia"/>
                <w:color w:val="auto"/>
                <w:szCs w:val="21"/>
              </w:rPr>
              <w:t>最终读数</w:t>
            </w:r>
          </w:p>
          <w:p>
            <w:pPr>
              <w:adjustRightInd w:val="0"/>
              <w:snapToGrid w:val="0"/>
              <w:ind w:left="-57" w:right="-105" w:rightChars="-50"/>
              <w:jc w:val="center"/>
              <w:rPr>
                <w:rFonts w:hint="eastAsia"/>
                <w:color w:val="auto"/>
                <w:szCs w:val="21"/>
              </w:rPr>
            </w:pPr>
            <w:r>
              <w:rPr>
                <w:rFonts w:hint="eastAsia"/>
                <w:color w:val="auto"/>
                <w:szCs w:val="21"/>
              </w:rPr>
              <w:t>（ L ）</w:t>
            </w:r>
          </w:p>
        </w:tc>
        <w:tc>
          <w:tcPr>
            <w:tcW w:w="1701" w:type="dxa"/>
            <w:gridSpan w:val="2"/>
            <w:tcBorders>
              <w:top w:val="single" w:color="auto" w:sz="4" w:space="0"/>
              <w:left w:val="single" w:color="auto" w:sz="4" w:space="0"/>
              <w:right w:val="single" w:color="auto" w:sz="4" w:space="0"/>
            </w:tcBorders>
            <w:noWrap w:val="0"/>
            <w:vAlign w:val="center"/>
          </w:tcPr>
          <w:p>
            <w:pPr>
              <w:adjustRightInd w:val="0"/>
              <w:snapToGrid w:val="0"/>
              <w:ind w:left="-57" w:right="-105" w:rightChars="-50"/>
              <w:jc w:val="center"/>
              <w:rPr>
                <w:rFonts w:hint="eastAsia"/>
                <w:color w:val="auto"/>
                <w:szCs w:val="21"/>
              </w:rPr>
            </w:pPr>
            <w:r>
              <w:rPr>
                <w:rFonts w:hint="eastAsia"/>
                <w:color w:val="auto"/>
                <w:szCs w:val="21"/>
              </w:rPr>
              <w:t>累积体积数</w:t>
            </w:r>
          </w:p>
          <w:p>
            <w:pPr>
              <w:adjustRightInd w:val="0"/>
              <w:snapToGrid w:val="0"/>
              <w:ind w:left="-57" w:right="-105" w:rightChars="-50"/>
              <w:jc w:val="center"/>
              <w:rPr>
                <w:rFonts w:hint="eastAsia"/>
                <w:color w:val="auto"/>
                <w:szCs w:val="21"/>
              </w:rPr>
            </w:pPr>
            <w:r>
              <w:rPr>
                <w:rFonts w:hint="eastAsia"/>
                <w:color w:val="auto"/>
                <w:szCs w:val="21"/>
              </w:rPr>
              <w:t>（ L ）</w:t>
            </w:r>
          </w:p>
        </w:tc>
        <w:tc>
          <w:tcPr>
            <w:tcW w:w="992" w:type="dxa"/>
            <w:tcBorders>
              <w:top w:val="single" w:color="auto" w:sz="4" w:space="0"/>
              <w:left w:val="single" w:color="auto" w:sz="4" w:space="0"/>
              <w:right w:val="single" w:color="auto" w:sz="4" w:space="0"/>
            </w:tcBorders>
            <w:noWrap w:val="0"/>
            <w:vAlign w:val="center"/>
          </w:tcPr>
          <w:p>
            <w:pPr>
              <w:adjustRightInd w:val="0"/>
              <w:snapToGrid w:val="0"/>
              <w:ind w:left="-57" w:right="-105" w:rightChars="-50"/>
              <w:jc w:val="center"/>
              <w:rPr>
                <w:rFonts w:hint="eastAsia"/>
                <w:color w:val="auto"/>
                <w:szCs w:val="21"/>
              </w:rPr>
            </w:pPr>
            <w:r>
              <w:rPr>
                <w:rFonts w:hint="eastAsia"/>
                <w:color w:val="auto"/>
                <w:szCs w:val="21"/>
              </w:rPr>
              <w:t>开始读数（ mm ）</w:t>
            </w:r>
          </w:p>
        </w:tc>
        <w:tc>
          <w:tcPr>
            <w:tcW w:w="1134" w:type="dxa"/>
            <w:gridSpan w:val="2"/>
            <w:tcBorders>
              <w:top w:val="single" w:color="auto" w:sz="4" w:space="0"/>
              <w:left w:val="single" w:color="auto" w:sz="4" w:space="0"/>
              <w:right w:val="single" w:color="auto" w:sz="4" w:space="0"/>
            </w:tcBorders>
            <w:noWrap w:val="0"/>
            <w:vAlign w:val="center"/>
          </w:tcPr>
          <w:p>
            <w:pPr>
              <w:adjustRightInd w:val="0"/>
              <w:snapToGrid w:val="0"/>
              <w:ind w:left="-57" w:right="-105" w:rightChars="-50"/>
              <w:jc w:val="center"/>
              <w:rPr>
                <w:rFonts w:hint="eastAsia"/>
                <w:color w:val="auto"/>
                <w:szCs w:val="21"/>
              </w:rPr>
            </w:pPr>
            <w:r>
              <w:rPr>
                <w:rFonts w:hint="eastAsia"/>
                <w:color w:val="auto"/>
                <w:szCs w:val="21"/>
              </w:rPr>
              <w:t>最终读数（ mm ）</w:t>
            </w:r>
          </w:p>
        </w:tc>
        <w:tc>
          <w:tcPr>
            <w:tcW w:w="1843" w:type="dxa"/>
            <w:gridSpan w:val="3"/>
            <w:tcBorders>
              <w:top w:val="single" w:color="auto" w:sz="4" w:space="0"/>
              <w:left w:val="single" w:color="auto" w:sz="4" w:space="0"/>
            </w:tcBorders>
            <w:noWrap w:val="0"/>
            <w:vAlign w:val="center"/>
          </w:tcPr>
          <w:p>
            <w:pPr>
              <w:adjustRightInd w:val="0"/>
              <w:snapToGrid w:val="0"/>
              <w:ind w:left="-57" w:right="-105" w:rightChars="-50"/>
              <w:jc w:val="center"/>
              <w:rPr>
                <w:rFonts w:hint="eastAsia"/>
                <w:color w:val="auto"/>
                <w:szCs w:val="21"/>
              </w:rPr>
            </w:pPr>
            <w:r>
              <w:rPr>
                <w:rFonts w:hint="eastAsia"/>
                <w:color w:val="auto"/>
                <w:szCs w:val="21"/>
              </w:rPr>
              <w:t>体积数</w:t>
            </w:r>
          </w:p>
          <w:p>
            <w:pPr>
              <w:adjustRightInd w:val="0"/>
              <w:snapToGrid w:val="0"/>
              <w:ind w:left="-57" w:right="-105" w:rightChars="-50"/>
              <w:jc w:val="center"/>
              <w:rPr>
                <w:rFonts w:hint="eastAsia"/>
                <w:color w:val="auto"/>
                <w:szCs w:val="21"/>
              </w:rPr>
            </w:pPr>
            <w:r>
              <w:rPr>
                <w:rFonts w:hint="eastAsia"/>
                <w:color w:val="auto"/>
                <w:szCs w:val="21"/>
              </w:rPr>
              <w:t>（ L ）</w:t>
            </w:r>
          </w:p>
        </w:tc>
        <w:tc>
          <w:tcPr>
            <w:tcW w:w="992" w:type="dxa"/>
            <w:vMerge w:val="continue"/>
            <w:tcBorders>
              <w:bottom w:val="single" w:color="auto" w:sz="4" w:space="0"/>
              <w:right w:val="single" w:color="auto" w:sz="8" w:space="0"/>
            </w:tcBorders>
            <w:noWrap w:val="0"/>
            <w:vAlign w:val="center"/>
          </w:tcPr>
          <w:p>
            <w:pP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5" w:hRule="atLeast"/>
        </w:trPr>
        <w:tc>
          <w:tcPr>
            <w:tcW w:w="824" w:type="dxa"/>
            <w:vMerge w:val="restart"/>
            <w:tcBorders>
              <w:top w:val="single" w:color="auto" w:sz="4" w:space="0"/>
              <w:left w:val="single" w:color="auto" w:sz="8" w:space="0"/>
              <w:right w:val="single" w:color="auto" w:sz="4" w:space="0"/>
            </w:tcBorders>
            <w:noWrap w:val="0"/>
            <w:vAlign w:val="center"/>
          </w:tcPr>
          <w:p>
            <w:pPr>
              <w:adjustRightInd w:val="0"/>
              <w:snapToGrid w:val="0"/>
              <w:ind w:left="-105" w:leftChars="-50" w:right="-105" w:rightChars="-50"/>
              <w:jc w:val="center"/>
              <w:rPr>
                <w:color w:val="auto"/>
                <w:szCs w:val="21"/>
              </w:rPr>
            </w:pPr>
            <w:r>
              <w:rPr>
                <w:rFonts w:hint="eastAsia"/>
                <w:i/>
                <w:color w:val="auto"/>
                <w:szCs w:val="21"/>
              </w:rPr>
              <w:t>q</w:t>
            </w:r>
            <w:r>
              <w:rPr>
                <w:color w:val="auto"/>
                <w:szCs w:val="21"/>
                <w:vertAlign w:val="subscript"/>
              </w:rPr>
              <w:t>max</w:t>
            </w:r>
          </w:p>
        </w:tc>
        <w:tc>
          <w:tcPr>
            <w:tcW w:w="709" w:type="dxa"/>
            <w:vMerge w:val="restart"/>
            <w:tcBorders>
              <w:top w:val="single" w:color="auto" w:sz="4" w:space="0"/>
              <w:left w:val="single" w:color="auto" w:sz="4" w:space="0"/>
            </w:tcBorders>
            <w:noWrap w:val="0"/>
            <w:vAlign w:val="center"/>
          </w:tcPr>
          <w:p>
            <w:pPr>
              <w:adjustRightInd w:val="0"/>
              <w:snapToGrid w:val="0"/>
              <w:spacing w:before="156" w:beforeLines="50" w:after="156" w:afterLines="50"/>
              <w:jc w:val="center"/>
              <w:rPr>
                <w:color w:val="auto"/>
                <w:szCs w:val="21"/>
              </w:rPr>
            </w:pPr>
          </w:p>
        </w:tc>
        <w:tc>
          <w:tcPr>
            <w:tcW w:w="992" w:type="dxa"/>
            <w:tcBorders>
              <w:bottom w:val="single" w:color="auto" w:sz="4" w:space="0"/>
              <w:right w:val="single" w:color="auto" w:sz="4" w:space="0"/>
            </w:tcBorders>
            <w:noWrap w:val="0"/>
            <w:vAlign w:val="center"/>
          </w:tcPr>
          <w:p>
            <w:pPr>
              <w:jc w:val="center"/>
              <w:rPr>
                <w:color w:val="auto"/>
                <w:szCs w:val="21"/>
              </w:rPr>
            </w:pPr>
          </w:p>
        </w:tc>
        <w:tc>
          <w:tcPr>
            <w:tcW w:w="1134"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850"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851" w:type="dxa"/>
            <w:vMerge w:val="restart"/>
            <w:tcBorders>
              <w:left w:val="single" w:color="auto" w:sz="4" w:space="0"/>
              <w:right w:val="single" w:color="auto" w:sz="4" w:space="0"/>
            </w:tcBorders>
            <w:noWrap w:val="0"/>
            <w:vAlign w:val="center"/>
          </w:tcPr>
          <w:p>
            <w:pPr>
              <w:jc w:val="center"/>
              <w:rPr>
                <w:color w:val="auto"/>
                <w:szCs w:val="21"/>
              </w:rPr>
            </w:pPr>
          </w:p>
        </w:tc>
        <w:tc>
          <w:tcPr>
            <w:tcW w:w="992"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1134" w:type="dxa"/>
            <w:gridSpan w:val="2"/>
            <w:tcBorders>
              <w:left w:val="single" w:color="auto" w:sz="4" w:space="0"/>
              <w:bottom w:val="single" w:color="auto" w:sz="4" w:space="0"/>
              <w:right w:val="single" w:color="auto" w:sz="4" w:space="0"/>
            </w:tcBorders>
            <w:noWrap w:val="0"/>
            <w:vAlign w:val="center"/>
          </w:tcPr>
          <w:p>
            <w:pPr>
              <w:jc w:val="center"/>
              <w:rPr>
                <w:color w:val="auto"/>
                <w:szCs w:val="21"/>
              </w:rPr>
            </w:pPr>
          </w:p>
        </w:tc>
        <w:tc>
          <w:tcPr>
            <w:tcW w:w="851"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992" w:type="dxa"/>
            <w:gridSpan w:val="2"/>
            <w:vMerge w:val="restart"/>
            <w:tcBorders>
              <w:left w:val="single" w:color="auto" w:sz="4" w:space="0"/>
            </w:tcBorders>
            <w:noWrap w:val="0"/>
            <w:vAlign w:val="center"/>
          </w:tcPr>
          <w:p>
            <w:pPr>
              <w:jc w:val="center"/>
              <w:rPr>
                <w:color w:val="auto"/>
                <w:szCs w:val="21"/>
              </w:rPr>
            </w:pPr>
          </w:p>
        </w:tc>
        <w:tc>
          <w:tcPr>
            <w:tcW w:w="992" w:type="dxa"/>
            <w:vMerge w:val="restart"/>
            <w:tcBorders>
              <w:top w:val="single" w:color="auto" w:sz="4" w:space="0"/>
              <w:right w:val="single" w:color="auto" w:sz="8" w:space="0"/>
            </w:tcBorders>
            <w:noWrap w:val="0"/>
            <w:vAlign w:val="center"/>
          </w:tcPr>
          <w:p>
            <w:pP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16" w:hRule="atLeast"/>
        </w:trPr>
        <w:tc>
          <w:tcPr>
            <w:tcW w:w="824" w:type="dxa"/>
            <w:vMerge w:val="continue"/>
            <w:tcBorders>
              <w:left w:val="single" w:color="auto" w:sz="8" w:space="0"/>
              <w:bottom w:val="single" w:color="auto" w:sz="4" w:space="0"/>
              <w:right w:val="single" w:color="auto" w:sz="4" w:space="0"/>
            </w:tcBorders>
            <w:noWrap w:val="0"/>
            <w:vAlign w:val="center"/>
          </w:tcPr>
          <w:p>
            <w:pPr>
              <w:ind w:left="-105" w:leftChars="-50" w:right="-105" w:rightChars="-50"/>
              <w:jc w:val="center"/>
              <w:rPr>
                <w:rFonts w:hint="eastAsia"/>
                <w:color w:val="auto"/>
                <w:szCs w:val="21"/>
              </w:rPr>
            </w:pPr>
          </w:p>
        </w:tc>
        <w:tc>
          <w:tcPr>
            <w:tcW w:w="709" w:type="dxa"/>
            <w:vMerge w:val="continue"/>
            <w:tcBorders>
              <w:left w:val="single" w:color="auto" w:sz="4" w:space="0"/>
              <w:bottom w:val="single" w:color="auto" w:sz="4" w:space="0"/>
            </w:tcBorders>
            <w:noWrap w:val="0"/>
            <w:vAlign w:val="center"/>
          </w:tcPr>
          <w:p>
            <w:pPr>
              <w:jc w:val="center"/>
              <w:rPr>
                <w:rFonts w:hint="eastAsia"/>
                <w:color w:val="auto"/>
                <w:szCs w:val="21"/>
              </w:rPr>
            </w:pPr>
          </w:p>
        </w:tc>
        <w:tc>
          <w:tcPr>
            <w:tcW w:w="992" w:type="dxa"/>
            <w:tcBorders>
              <w:top w:val="single" w:color="auto" w:sz="4" w:space="0"/>
              <w:right w:val="single" w:color="auto" w:sz="4" w:space="0"/>
            </w:tcBorders>
            <w:noWrap w:val="0"/>
            <w:vAlign w:val="center"/>
          </w:tcPr>
          <w:p>
            <w:pPr>
              <w:jc w:val="center"/>
              <w:rPr>
                <w:color w:val="auto"/>
                <w:szCs w:val="21"/>
              </w:rPr>
            </w:pPr>
          </w:p>
        </w:tc>
        <w:tc>
          <w:tcPr>
            <w:tcW w:w="1134"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850"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851" w:type="dxa"/>
            <w:vMerge w:val="continue"/>
            <w:tcBorders>
              <w:left w:val="single" w:color="auto" w:sz="4" w:space="0"/>
              <w:right w:val="single" w:color="auto" w:sz="4" w:space="0"/>
            </w:tcBorders>
            <w:noWrap w:val="0"/>
            <w:vAlign w:val="center"/>
          </w:tcPr>
          <w:p>
            <w:pPr>
              <w:jc w:val="center"/>
              <w:rPr>
                <w:color w:val="auto"/>
                <w:szCs w:val="21"/>
              </w:rPr>
            </w:pPr>
          </w:p>
        </w:tc>
        <w:tc>
          <w:tcPr>
            <w:tcW w:w="992"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1134" w:type="dxa"/>
            <w:gridSpan w:val="2"/>
            <w:tcBorders>
              <w:top w:val="single" w:color="auto" w:sz="4" w:space="0"/>
              <w:left w:val="single" w:color="auto" w:sz="4" w:space="0"/>
              <w:right w:val="single" w:color="auto" w:sz="4" w:space="0"/>
            </w:tcBorders>
            <w:noWrap w:val="0"/>
            <w:vAlign w:val="center"/>
          </w:tcPr>
          <w:p>
            <w:pPr>
              <w:jc w:val="center"/>
              <w:rPr>
                <w:color w:val="auto"/>
                <w:szCs w:val="21"/>
              </w:rPr>
            </w:pPr>
          </w:p>
        </w:tc>
        <w:tc>
          <w:tcPr>
            <w:tcW w:w="851"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992" w:type="dxa"/>
            <w:gridSpan w:val="2"/>
            <w:vMerge w:val="continue"/>
            <w:tcBorders>
              <w:left w:val="single" w:color="auto" w:sz="4" w:space="0"/>
            </w:tcBorders>
            <w:noWrap w:val="0"/>
            <w:vAlign w:val="center"/>
          </w:tcPr>
          <w:p>
            <w:pPr>
              <w:jc w:val="center"/>
              <w:rPr>
                <w:color w:val="auto"/>
                <w:szCs w:val="21"/>
              </w:rPr>
            </w:pPr>
          </w:p>
        </w:tc>
        <w:tc>
          <w:tcPr>
            <w:tcW w:w="992" w:type="dxa"/>
            <w:vMerge w:val="continue"/>
            <w:tcBorders>
              <w:bottom w:val="single" w:color="auto" w:sz="4" w:space="0"/>
              <w:right w:val="single" w:color="auto" w:sz="8" w:space="0"/>
            </w:tcBorders>
            <w:noWrap w:val="0"/>
            <w:vAlign w:val="center"/>
          </w:tcPr>
          <w:p>
            <w:pP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08" w:hRule="atLeast"/>
        </w:trPr>
        <w:tc>
          <w:tcPr>
            <w:tcW w:w="824" w:type="dxa"/>
            <w:vMerge w:val="restart"/>
            <w:tcBorders>
              <w:top w:val="single" w:color="auto" w:sz="4" w:space="0"/>
              <w:left w:val="single" w:color="auto" w:sz="8" w:space="0"/>
              <w:right w:val="single" w:color="auto" w:sz="4" w:space="0"/>
            </w:tcBorders>
            <w:noWrap w:val="0"/>
            <w:vAlign w:val="center"/>
          </w:tcPr>
          <w:p>
            <w:pPr>
              <w:adjustRightInd w:val="0"/>
              <w:snapToGrid w:val="0"/>
              <w:ind w:left="-105" w:leftChars="-50" w:right="-105" w:rightChars="-50"/>
              <w:jc w:val="center"/>
              <w:rPr>
                <w:color w:val="auto"/>
                <w:szCs w:val="21"/>
              </w:rPr>
            </w:pPr>
            <w:r>
              <w:rPr>
                <w:rFonts w:hint="eastAsia"/>
                <w:color w:val="auto"/>
                <w:szCs w:val="21"/>
              </w:rPr>
              <w:t>0.</w:t>
            </w:r>
            <w:r>
              <w:rPr>
                <w:color w:val="auto"/>
                <w:szCs w:val="21"/>
              </w:rPr>
              <w:t>2</w:t>
            </w:r>
            <w:r>
              <w:rPr>
                <w:rFonts w:hint="eastAsia"/>
                <w:i/>
                <w:color w:val="auto"/>
                <w:szCs w:val="21"/>
              </w:rPr>
              <w:t xml:space="preserve"> q</w:t>
            </w:r>
            <w:r>
              <w:rPr>
                <w:color w:val="auto"/>
                <w:szCs w:val="21"/>
                <w:vertAlign w:val="subscript"/>
              </w:rPr>
              <w:t>max</w:t>
            </w:r>
          </w:p>
        </w:tc>
        <w:tc>
          <w:tcPr>
            <w:tcW w:w="709" w:type="dxa"/>
            <w:vMerge w:val="restart"/>
            <w:tcBorders>
              <w:top w:val="single" w:color="auto" w:sz="4" w:space="0"/>
              <w:left w:val="single" w:color="auto" w:sz="4" w:space="0"/>
            </w:tcBorders>
            <w:noWrap w:val="0"/>
            <w:vAlign w:val="center"/>
          </w:tcPr>
          <w:p>
            <w:pPr>
              <w:adjustRightInd w:val="0"/>
              <w:snapToGrid w:val="0"/>
              <w:spacing w:before="156" w:beforeLines="50" w:after="156" w:afterLines="50"/>
              <w:ind w:left="-105" w:leftChars="-50" w:right="-105" w:rightChars="-50"/>
              <w:jc w:val="center"/>
              <w:rPr>
                <w:color w:val="auto"/>
                <w:szCs w:val="21"/>
              </w:rPr>
            </w:pPr>
          </w:p>
        </w:tc>
        <w:tc>
          <w:tcPr>
            <w:tcW w:w="992" w:type="dxa"/>
            <w:tcBorders>
              <w:bottom w:val="single" w:color="auto" w:sz="4" w:space="0"/>
              <w:right w:val="single" w:color="auto" w:sz="4" w:space="0"/>
            </w:tcBorders>
            <w:noWrap w:val="0"/>
            <w:vAlign w:val="center"/>
          </w:tcPr>
          <w:p>
            <w:pPr>
              <w:jc w:val="center"/>
              <w:rPr>
                <w:color w:val="auto"/>
                <w:szCs w:val="21"/>
              </w:rPr>
            </w:pPr>
          </w:p>
        </w:tc>
        <w:tc>
          <w:tcPr>
            <w:tcW w:w="1134"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850"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851" w:type="dxa"/>
            <w:vMerge w:val="restart"/>
            <w:tcBorders>
              <w:left w:val="single" w:color="auto" w:sz="4" w:space="0"/>
              <w:right w:val="single" w:color="auto" w:sz="4" w:space="0"/>
            </w:tcBorders>
            <w:noWrap w:val="0"/>
            <w:vAlign w:val="center"/>
          </w:tcPr>
          <w:p>
            <w:pPr>
              <w:jc w:val="center"/>
              <w:rPr>
                <w:color w:val="auto"/>
                <w:szCs w:val="21"/>
              </w:rPr>
            </w:pPr>
          </w:p>
        </w:tc>
        <w:tc>
          <w:tcPr>
            <w:tcW w:w="992"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1134" w:type="dxa"/>
            <w:gridSpan w:val="2"/>
            <w:tcBorders>
              <w:left w:val="single" w:color="auto" w:sz="4" w:space="0"/>
              <w:bottom w:val="single" w:color="auto" w:sz="4" w:space="0"/>
              <w:right w:val="single" w:color="auto" w:sz="4" w:space="0"/>
            </w:tcBorders>
            <w:noWrap w:val="0"/>
            <w:vAlign w:val="center"/>
          </w:tcPr>
          <w:p>
            <w:pPr>
              <w:jc w:val="center"/>
              <w:rPr>
                <w:color w:val="auto"/>
                <w:szCs w:val="21"/>
              </w:rPr>
            </w:pPr>
          </w:p>
        </w:tc>
        <w:tc>
          <w:tcPr>
            <w:tcW w:w="851" w:type="dxa"/>
            <w:tcBorders>
              <w:left w:val="single" w:color="auto" w:sz="4" w:space="0"/>
              <w:bottom w:val="single" w:color="auto" w:sz="4" w:space="0"/>
              <w:right w:val="single" w:color="auto" w:sz="4" w:space="0"/>
            </w:tcBorders>
            <w:noWrap w:val="0"/>
            <w:vAlign w:val="center"/>
          </w:tcPr>
          <w:p>
            <w:pPr>
              <w:jc w:val="center"/>
              <w:rPr>
                <w:color w:val="auto"/>
                <w:szCs w:val="21"/>
              </w:rPr>
            </w:pPr>
          </w:p>
        </w:tc>
        <w:tc>
          <w:tcPr>
            <w:tcW w:w="992" w:type="dxa"/>
            <w:gridSpan w:val="2"/>
            <w:vMerge w:val="restart"/>
            <w:tcBorders>
              <w:left w:val="single" w:color="auto" w:sz="4" w:space="0"/>
            </w:tcBorders>
            <w:noWrap w:val="0"/>
            <w:vAlign w:val="center"/>
          </w:tcPr>
          <w:p>
            <w:pPr>
              <w:jc w:val="center"/>
              <w:rPr>
                <w:color w:val="auto"/>
                <w:szCs w:val="21"/>
              </w:rPr>
            </w:pPr>
          </w:p>
        </w:tc>
        <w:tc>
          <w:tcPr>
            <w:tcW w:w="992" w:type="dxa"/>
            <w:vMerge w:val="restart"/>
            <w:tcBorders>
              <w:top w:val="single" w:color="auto" w:sz="4" w:space="0"/>
              <w:right w:val="single" w:color="auto" w:sz="8" w:space="0"/>
            </w:tcBorders>
            <w:noWrap w:val="0"/>
            <w:vAlign w:val="center"/>
          </w:tcPr>
          <w:p>
            <w:pP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14" w:hRule="atLeast"/>
        </w:trPr>
        <w:tc>
          <w:tcPr>
            <w:tcW w:w="824" w:type="dxa"/>
            <w:vMerge w:val="continue"/>
            <w:tcBorders>
              <w:left w:val="single" w:color="auto" w:sz="8" w:space="0"/>
              <w:bottom w:val="single" w:color="auto" w:sz="4" w:space="0"/>
              <w:right w:val="single" w:color="auto" w:sz="4" w:space="0"/>
            </w:tcBorders>
            <w:noWrap w:val="0"/>
            <w:vAlign w:val="center"/>
          </w:tcPr>
          <w:p>
            <w:pPr>
              <w:ind w:left="-105" w:leftChars="-50" w:right="-105" w:rightChars="-50"/>
              <w:jc w:val="center"/>
              <w:rPr>
                <w:rFonts w:hint="eastAsia"/>
                <w:color w:val="auto"/>
                <w:szCs w:val="21"/>
              </w:rPr>
            </w:pPr>
          </w:p>
        </w:tc>
        <w:tc>
          <w:tcPr>
            <w:tcW w:w="709" w:type="dxa"/>
            <w:vMerge w:val="continue"/>
            <w:tcBorders>
              <w:left w:val="single" w:color="auto" w:sz="4" w:space="0"/>
              <w:bottom w:val="single" w:color="auto" w:sz="4" w:space="0"/>
            </w:tcBorders>
            <w:noWrap w:val="0"/>
            <w:vAlign w:val="center"/>
          </w:tcPr>
          <w:p>
            <w:pPr>
              <w:jc w:val="center"/>
              <w:rPr>
                <w:rFonts w:hint="eastAsia"/>
                <w:color w:val="auto"/>
                <w:szCs w:val="21"/>
              </w:rPr>
            </w:pPr>
          </w:p>
        </w:tc>
        <w:tc>
          <w:tcPr>
            <w:tcW w:w="992" w:type="dxa"/>
            <w:tcBorders>
              <w:top w:val="single" w:color="auto" w:sz="4" w:space="0"/>
              <w:right w:val="single" w:color="auto" w:sz="4" w:space="0"/>
            </w:tcBorders>
            <w:noWrap w:val="0"/>
            <w:vAlign w:val="center"/>
          </w:tcPr>
          <w:p>
            <w:pPr>
              <w:jc w:val="center"/>
              <w:rPr>
                <w:color w:val="auto"/>
                <w:szCs w:val="21"/>
              </w:rPr>
            </w:pPr>
          </w:p>
        </w:tc>
        <w:tc>
          <w:tcPr>
            <w:tcW w:w="1134"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850"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851" w:type="dxa"/>
            <w:vMerge w:val="continue"/>
            <w:tcBorders>
              <w:left w:val="single" w:color="auto" w:sz="4" w:space="0"/>
              <w:right w:val="single" w:color="auto" w:sz="4" w:space="0"/>
            </w:tcBorders>
            <w:noWrap w:val="0"/>
            <w:vAlign w:val="center"/>
          </w:tcPr>
          <w:p>
            <w:pPr>
              <w:jc w:val="center"/>
              <w:rPr>
                <w:color w:val="auto"/>
                <w:szCs w:val="21"/>
              </w:rPr>
            </w:pPr>
          </w:p>
        </w:tc>
        <w:tc>
          <w:tcPr>
            <w:tcW w:w="992"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1134" w:type="dxa"/>
            <w:gridSpan w:val="2"/>
            <w:tcBorders>
              <w:top w:val="single" w:color="auto" w:sz="4" w:space="0"/>
              <w:left w:val="single" w:color="auto" w:sz="4" w:space="0"/>
              <w:right w:val="single" w:color="auto" w:sz="4" w:space="0"/>
            </w:tcBorders>
            <w:noWrap w:val="0"/>
            <w:vAlign w:val="center"/>
          </w:tcPr>
          <w:p>
            <w:pPr>
              <w:jc w:val="center"/>
              <w:rPr>
                <w:color w:val="auto"/>
                <w:szCs w:val="21"/>
              </w:rPr>
            </w:pPr>
          </w:p>
        </w:tc>
        <w:tc>
          <w:tcPr>
            <w:tcW w:w="851" w:type="dxa"/>
            <w:tcBorders>
              <w:top w:val="single" w:color="auto" w:sz="4" w:space="0"/>
              <w:left w:val="single" w:color="auto" w:sz="4" w:space="0"/>
              <w:right w:val="single" w:color="auto" w:sz="4" w:space="0"/>
            </w:tcBorders>
            <w:noWrap w:val="0"/>
            <w:vAlign w:val="center"/>
          </w:tcPr>
          <w:p>
            <w:pPr>
              <w:jc w:val="center"/>
              <w:rPr>
                <w:color w:val="auto"/>
                <w:szCs w:val="21"/>
              </w:rPr>
            </w:pPr>
          </w:p>
        </w:tc>
        <w:tc>
          <w:tcPr>
            <w:tcW w:w="992" w:type="dxa"/>
            <w:gridSpan w:val="2"/>
            <w:vMerge w:val="continue"/>
            <w:tcBorders>
              <w:left w:val="single" w:color="auto" w:sz="4" w:space="0"/>
            </w:tcBorders>
            <w:noWrap w:val="0"/>
            <w:vAlign w:val="center"/>
          </w:tcPr>
          <w:p>
            <w:pPr>
              <w:jc w:val="center"/>
              <w:rPr>
                <w:color w:val="auto"/>
                <w:szCs w:val="21"/>
              </w:rPr>
            </w:pPr>
          </w:p>
        </w:tc>
        <w:tc>
          <w:tcPr>
            <w:tcW w:w="992" w:type="dxa"/>
            <w:vMerge w:val="continue"/>
            <w:tcBorders>
              <w:bottom w:val="single" w:color="auto" w:sz="4" w:space="0"/>
              <w:right w:val="single" w:color="auto" w:sz="8" w:space="0"/>
            </w:tcBorders>
            <w:noWrap w:val="0"/>
            <w:vAlign w:val="center"/>
          </w:tcPr>
          <w:p>
            <w:pP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19" w:hRule="atLeast"/>
        </w:trPr>
        <w:tc>
          <w:tcPr>
            <w:tcW w:w="824" w:type="dxa"/>
            <w:vMerge w:val="restart"/>
            <w:tcBorders>
              <w:top w:val="single" w:color="auto" w:sz="4" w:space="0"/>
              <w:left w:val="single" w:color="auto" w:sz="8" w:space="0"/>
              <w:right w:val="single" w:color="auto" w:sz="4" w:space="0"/>
            </w:tcBorders>
            <w:noWrap w:val="0"/>
            <w:vAlign w:val="center"/>
          </w:tcPr>
          <w:p>
            <w:pPr>
              <w:adjustRightInd w:val="0"/>
              <w:snapToGrid w:val="0"/>
              <w:ind w:left="-105" w:leftChars="-50" w:right="-105" w:rightChars="-50"/>
              <w:jc w:val="center"/>
              <w:rPr>
                <w:color w:val="auto"/>
                <w:szCs w:val="21"/>
              </w:rPr>
            </w:pPr>
            <w:r>
              <w:rPr>
                <w:rFonts w:hint="eastAsia"/>
                <w:i/>
                <w:color w:val="auto"/>
                <w:szCs w:val="21"/>
              </w:rPr>
              <w:t>q</w:t>
            </w:r>
            <w:r>
              <w:rPr>
                <w:color w:val="auto"/>
                <w:szCs w:val="21"/>
                <w:vertAlign w:val="subscript"/>
              </w:rPr>
              <w:t>min</w:t>
            </w:r>
          </w:p>
        </w:tc>
        <w:tc>
          <w:tcPr>
            <w:tcW w:w="709" w:type="dxa"/>
            <w:vMerge w:val="restart"/>
            <w:tcBorders>
              <w:top w:val="single" w:color="auto" w:sz="4" w:space="0"/>
              <w:left w:val="single" w:color="auto" w:sz="4" w:space="0"/>
            </w:tcBorders>
            <w:noWrap w:val="0"/>
            <w:vAlign w:val="center"/>
          </w:tcPr>
          <w:p>
            <w:pPr>
              <w:adjustRightInd w:val="0"/>
              <w:snapToGrid w:val="0"/>
              <w:jc w:val="center"/>
              <w:rPr>
                <w:color w:val="auto"/>
                <w:szCs w:val="21"/>
              </w:rPr>
            </w:pPr>
          </w:p>
        </w:tc>
        <w:tc>
          <w:tcPr>
            <w:tcW w:w="992" w:type="dxa"/>
            <w:tcBorders>
              <w:right w:val="single" w:color="auto" w:sz="4" w:space="0"/>
            </w:tcBorders>
            <w:noWrap w:val="0"/>
            <w:vAlign w:val="center"/>
          </w:tcPr>
          <w:p>
            <w:pPr>
              <w:jc w:val="center"/>
              <w:rPr>
                <w:color w:val="auto"/>
                <w:szCs w:val="21"/>
              </w:rPr>
            </w:pPr>
          </w:p>
        </w:tc>
        <w:tc>
          <w:tcPr>
            <w:tcW w:w="1134" w:type="dxa"/>
            <w:tcBorders>
              <w:left w:val="single" w:color="auto" w:sz="4" w:space="0"/>
              <w:right w:val="single" w:color="auto" w:sz="4" w:space="0"/>
            </w:tcBorders>
            <w:noWrap w:val="0"/>
            <w:vAlign w:val="center"/>
          </w:tcPr>
          <w:p>
            <w:pPr>
              <w:jc w:val="center"/>
              <w:rPr>
                <w:color w:val="auto"/>
                <w:szCs w:val="21"/>
              </w:rPr>
            </w:pPr>
          </w:p>
        </w:tc>
        <w:tc>
          <w:tcPr>
            <w:tcW w:w="850" w:type="dxa"/>
            <w:tcBorders>
              <w:left w:val="single" w:color="auto" w:sz="4" w:space="0"/>
              <w:right w:val="single" w:color="auto" w:sz="4" w:space="0"/>
            </w:tcBorders>
            <w:noWrap w:val="0"/>
            <w:vAlign w:val="center"/>
          </w:tcPr>
          <w:p>
            <w:pPr>
              <w:jc w:val="center"/>
              <w:rPr>
                <w:color w:val="auto"/>
                <w:szCs w:val="21"/>
              </w:rPr>
            </w:pPr>
          </w:p>
        </w:tc>
        <w:tc>
          <w:tcPr>
            <w:tcW w:w="851" w:type="dxa"/>
            <w:vMerge w:val="restart"/>
            <w:tcBorders>
              <w:left w:val="single" w:color="auto" w:sz="4" w:space="0"/>
              <w:right w:val="single" w:color="auto" w:sz="4" w:space="0"/>
            </w:tcBorders>
            <w:noWrap w:val="0"/>
            <w:vAlign w:val="center"/>
          </w:tcPr>
          <w:p>
            <w:pPr>
              <w:jc w:val="center"/>
              <w:rPr>
                <w:color w:val="auto"/>
                <w:szCs w:val="21"/>
              </w:rPr>
            </w:pPr>
          </w:p>
        </w:tc>
        <w:tc>
          <w:tcPr>
            <w:tcW w:w="992" w:type="dxa"/>
            <w:tcBorders>
              <w:left w:val="single" w:color="auto" w:sz="4" w:space="0"/>
              <w:right w:val="single" w:color="auto" w:sz="4" w:space="0"/>
            </w:tcBorders>
            <w:noWrap w:val="0"/>
            <w:vAlign w:val="center"/>
          </w:tcPr>
          <w:p>
            <w:pPr>
              <w:jc w:val="center"/>
              <w:rPr>
                <w:color w:val="auto"/>
                <w:szCs w:val="21"/>
              </w:rPr>
            </w:pPr>
          </w:p>
        </w:tc>
        <w:tc>
          <w:tcPr>
            <w:tcW w:w="1134" w:type="dxa"/>
            <w:gridSpan w:val="2"/>
            <w:tcBorders>
              <w:left w:val="single" w:color="auto" w:sz="4" w:space="0"/>
              <w:right w:val="single" w:color="auto" w:sz="4" w:space="0"/>
            </w:tcBorders>
            <w:noWrap w:val="0"/>
            <w:vAlign w:val="center"/>
          </w:tcPr>
          <w:p>
            <w:pPr>
              <w:jc w:val="center"/>
              <w:rPr>
                <w:color w:val="auto"/>
                <w:szCs w:val="21"/>
              </w:rPr>
            </w:pPr>
          </w:p>
        </w:tc>
        <w:tc>
          <w:tcPr>
            <w:tcW w:w="851" w:type="dxa"/>
            <w:tcBorders>
              <w:left w:val="single" w:color="auto" w:sz="4" w:space="0"/>
              <w:right w:val="single" w:color="auto" w:sz="4" w:space="0"/>
            </w:tcBorders>
            <w:noWrap w:val="0"/>
            <w:vAlign w:val="center"/>
          </w:tcPr>
          <w:p>
            <w:pPr>
              <w:jc w:val="center"/>
              <w:rPr>
                <w:color w:val="auto"/>
                <w:szCs w:val="21"/>
              </w:rPr>
            </w:pPr>
          </w:p>
        </w:tc>
        <w:tc>
          <w:tcPr>
            <w:tcW w:w="992" w:type="dxa"/>
            <w:gridSpan w:val="2"/>
            <w:vMerge w:val="restart"/>
            <w:tcBorders>
              <w:left w:val="single" w:color="auto" w:sz="4" w:space="0"/>
            </w:tcBorders>
            <w:noWrap w:val="0"/>
            <w:vAlign w:val="center"/>
          </w:tcPr>
          <w:p>
            <w:pPr>
              <w:jc w:val="center"/>
              <w:rPr>
                <w:color w:val="auto"/>
                <w:szCs w:val="21"/>
              </w:rPr>
            </w:pPr>
          </w:p>
        </w:tc>
        <w:tc>
          <w:tcPr>
            <w:tcW w:w="992" w:type="dxa"/>
            <w:vMerge w:val="restart"/>
            <w:tcBorders>
              <w:top w:val="single" w:color="auto" w:sz="4" w:space="0"/>
              <w:right w:val="single" w:color="auto" w:sz="8" w:space="0"/>
            </w:tcBorders>
            <w:noWrap w:val="0"/>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19" w:hRule="atLeast"/>
        </w:trPr>
        <w:tc>
          <w:tcPr>
            <w:tcW w:w="824" w:type="dxa"/>
            <w:vMerge w:val="continue"/>
            <w:tcBorders>
              <w:left w:val="single" w:color="auto" w:sz="8" w:space="0"/>
              <w:right w:val="single" w:color="auto" w:sz="4" w:space="0"/>
            </w:tcBorders>
            <w:noWrap w:val="0"/>
            <w:vAlign w:val="center"/>
          </w:tcPr>
          <w:p>
            <w:pPr>
              <w:adjustRightInd w:val="0"/>
              <w:snapToGrid w:val="0"/>
              <w:ind w:left="-105" w:leftChars="-50" w:right="-105" w:rightChars="-50"/>
              <w:jc w:val="center"/>
              <w:rPr>
                <w:rFonts w:hint="eastAsia"/>
                <w:i/>
                <w:color w:val="auto"/>
                <w:szCs w:val="21"/>
              </w:rPr>
            </w:pPr>
          </w:p>
        </w:tc>
        <w:tc>
          <w:tcPr>
            <w:tcW w:w="709" w:type="dxa"/>
            <w:vMerge w:val="continue"/>
            <w:tcBorders>
              <w:left w:val="single" w:color="auto" w:sz="4" w:space="0"/>
            </w:tcBorders>
            <w:noWrap w:val="0"/>
            <w:vAlign w:val="center"/>
          </w:tcPr>
          <w:p>
            <w:pPr>
              <w:adjustRightInd w:val="0"/>
              <w:snapToGrid w:val="0"/>
              <w:jc w:val="center"/>
              <w:rPr>
                <w:color w:val="auto"/>
                <w:szCs w:val="21"/>
              </w:rPr>
            </w:pPr>
          </w:p>
        </w:tc>
        <w:tc>
          <w:tcPr>
            <w:tcW w:w="992" w:type="dxa"/>
            <w:tcBorders>
              <w:right w:val="single" w:color="auto" w:sz="4" w:space="0"/>
            </w:tcBorders>
            <w:noWrap w:val="0"/>
            <w:vAlign w:val="center"/>
          </w:tcPr>
          <w:p>
            <w:pPr>
              <w:jc w:val="center"/>
              <w:rPr>
                <w:color w:val="auto"/>
                <w:szCs w:val="21"/>
              </w:rPr>
            </w:pPr>
          </w:p>
        </w:tc>
        <w:tc>
          <w:tcPr>
            <w:tcW w:w="1134" w:type="dxa"/>
            <w:tcBorders>
              <w:left w:val="single" w:color="auto" w:sz="4" w:space="0"/>
              <w:right w:val="single" w:color="auto" w:sz="4" w:space="0"/>
            </w:tcBorders>
            <w:noWrap w:val="0"/>
            <w:vAlign w:val="center"/>
          </w:tcPr>
          <w:p>
            <w:pPr>
              <w:jc w:val="center"/>
              <w:rPr>
                <w:color w:val="auto"/>
                <w:szCs w:val="21"/>
              </w:rPr>
            </w:pPr>
          </w:p>
        </w:tc>
        <w:tc>
          <w:tcPr>
            <w:tcW w:w="850" w:type="dxa"/>
            <w:tcBorders>
              <w:left w:val="single" w:color="auto" w:sz="4" w:space="0"/>
              <w:right w:val="single" w:color="auto" w:sz="4" w:space="0"/>
            </w:tcBorders>
            <w:noWrap w:val="0"/>
            <w:vAlign w:val="center"/>
          </w:tcPr>
          <w:p>
            <w:pPr>
              <w:jc w:val="center"/>
              <w:rPr>
                <w:color w:val="auto"/>
                <w:szCs w:val="21"/>
              </w:rPr>
            </w:pPr>
          </w:p>
        </w:tc>
        <w:tc>
          <w:tcPr>
            <w:tcW w:w="851" w:type="dxa"/>
            <w:vMerge w:val="continue"/>
            <w:tcBorders>
              <w:left w:val="single" w:color="auto" w:sz="4" w:space="0"/>
              <w:right w:val="single" w:color="auto" w:sz="4" w:space="0"/>
            </w:tcBorders>
            <w:noWrap w:val="0"/>
            <w:vAlign w:val="center"/>
          </w:tcPr>
          <w:p>
            <w:pPr>
              <w:jc w:val="center"/>
              <w:rPr>
                <w:color w:val="auto"/>
                <w:szCs w:val="21"/>
              </w:rPr>
            </w:pPr>
          </w:p>
        </w:tc>
        <w:tc>
          <w:tcPr>
            <w:tcW w:w="992" w:type="dxa"/>
            <w:tcBorders>
              <w:left w:val="single" w:color="auto" w:sz="4" w:space="0"/>
              <w:right w:val="single" w:color="auto" w:sz="4" w:space="0"/>
            </w:tcBorders>
            <w:noWrap w:val="0"/>
            <w:vAlign w:val="center"/>
          </w:tcPr>
          <w:p>
            <w:pPr>
              <w:jc w:val="center"/>
              <w:rPr>
                <w:color w:val="auto"/>
                <w:szCs w:val="21"/>
              </w:rPr>
            </w:pPr>
          </w:p>
        </w:tc>
        <w:tc>
          <w:tcPr>
            <w:tcW w:w="1134" w:type="dxa"/>
            <w:gridSpan w:val="2"/>
            <w:tcBorders>
              <w:left w:val="single" w:color="auto" w:sz="4" w:space="0"/>
              <w:right w:val="single" w:color="auto" w:sz="4" w:space="0"/>
            </w:tcBorders>
            <w:noWrap w:val="0"/>
            <w:vAlign w:val="center"/>
          </w:tcPr>
          <w:p>
            <w:pPr>
              <w:jc w:val="center"/>
              <w:rPr>
                <w:color w:val="auto"/>
                <w:szCs w:val="21"/>
              </w:rPr>
            </w:pPr>
          </w:p>
        </w:tc>
        <w:tc>
          <w:tcPr>
            <w:tcW w:w="851" w:type="dxa"/>
            <w:tcBorders>
              <w:left w:val="single" w:color="auto" w:sz="4" w:space="0"/>
              <w:right w:val="single" w:color="auto" w:sz="4" w:space="0"/>
            </w:tcBorders>
            <w:noWrap w:val="0"/>
            <w:vAlign w:val="center"/>
          </w:tcPr>
          <w:p>
            <w:pPr>
              <w:jc w:val="center"/>
              <w:rPr>
                <w:color w:val="auto"/>
                <w:szCs w:val="21"/>
              </w:rPr>
            </w:pPr>
          </w:p>
        </w:tc>
        <w:tc>
          <w:tcPr>
            <w:tcW w:w="992" w:type="dxa"/>
            <w:gridSpan w:val="2"/>
            <w:vMerge w:val="continue"/>
            <w:tcBorders>
              <w:left w:val="single" w:color="auto" w:sz="4" w:space="0"/>
            </w:tcBorders>
            <w:noWrap w:val="0"/>
            <w:vAlign w:val="center"/>
          </w:tcPr>
          <w:p>
            <w:pPr>
              <w:jc w:val="center"/>
              <w:rPr>
                <w:color w:val="auto"/>
                <w:szCs w:val="21"/>
              </w:rPr>
            </w:pPr>
          </w:p>
        </w:tc>
        <w:tc>
          <w:tcPr>
            <w:tcW w:w="992" w:type="dxa"/>
            <w:vMerge w:val="continue"/>
            <w:tcBorders>
              <w:right w:val="single" w:color="auto" w:sz="8" w:space="0"/>
            </w:tcBorders>
            <w:noWrap w:val="0"/>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19" w:hRule="atLeast"/>
        </w:trPr>
        <w:tc>
          <w:tcPr>
            <w:tcW w:w="1533" w:type="dxa"/>
            <w:gridSpan w:val="2"/>
            <w:tcBorders>
              <w:top w:val="single" w:color="auto" w:sz="4" w:space="0"/>
              <w:left w:val="single" w:color="auto" w:sz="8" w:space="0"/>
            </w:tcBorders>
            <w:noWrap w:val="0"/>
            <w:vAlign w:val="center"/>
          </w:tcPr>
          <w:p>
            <w:pPr>
              <w:adjustRightInd w:val="0"/>
              <w:snapToGrid w:val="0"/>
              <w:jc w:val="left"/>
              <w:rPr>
                <w:color w:val="auto"/>
                <w:szCs w:val="21"/>
              </w:rPr>
            </w:pPr>
            <w:r>
              <w:rPr>
                <w:rFonts w:hint="eastAsia"/>
                <w:color w:val="auto"/>
                <w:szCs w:val="21"/>
              </w:rPr>
              <w:t>5、提示功能</w:t>
            </w:r>
          </w:p>
        </w:tc>
        <w:tc>
          <w:tcPr>
            <w:tcW w:w="8788" w:type="dxa"/>
            <w:gridSpan w:val="11"/>
            <w:tcBorders>
              <w:right w:val="single" w:color="auto" w:sz="8" w:space="0"/>
            </w:tcBorders>
            <w:noWrap w:val="0"/>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55" w:hRule="atLeast"/>
        </w:trPr>
        <w:tc>
          <w:tcPr>
            <w:tcW w:w="1533" w:type="dxa"/>
            <w:gridSpan w:val="2"/>
            <w:tcBorders>
              <w:top w:val="single" w:color="auto" w:sz="4" w:space="0"/>
              <w:left w:val="single" w:color="auto" w:sz="8" w:space="0"/>
              <w:bottom w:val="single" w:color="auto" w:sz="4" w:space="0"/>
            </w:tcBorders>
            <w:noWrap w:val="0"/>
            <w:vAlign w:val="center"/>
          </w:tcPr>
          <w:p>
            <w:pPr>
              <w:adjustRightInd w:val="0"/>
              <w:snapToGrid w:val="0"/>
              <w:jc w:val="left"/>
              <w:rPr>
                <w:color w:val="auto"/>
                <w:szCs w:val="21"/>
              </w:rPr>
            </w:pPr>
            <w:r>
              <w:rPr>
                <w:rFonts w:hint="eastAsia"/>
                <w:color w:val="auto"/>
                <w:szCs w:val="21"/>
              </w:rPr>
              <w:t>6、附加装置功能检测</w:t>
            </w:r>
          </w:p>
        </w:tc>
        <w:tc>
          <w:tcPr>
            <w:tcW w:w="8788" w:type="dxa"/>
            <w:gridSpan w:val="11"/>
            <w:tcBorders>
              <w:right w:val="single" w:color="auto" w:sz="8" w:space="0"/>
            </w:tcBorders>
            <w:noWrap w:val="0"/>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55" w:hRule="atLeast"/>
        </w:trPr>
        <w:tc>
          <w:tcPr>
            <w:tcW w:w="1533" w:type="dxa"/>
            <w:gridSpan w:val="2"/>
            <w:tcBorders>
              <w:top w:val="single" w:color="auto" w:sz="4" w:space="0"/>
              <w:left w:val="single" w:color="auto" w:sz="8" w:space="0"/>
              <w:bottom w:val="single" w:color="auto" w:sz="4" w:space="0"/>
            </w:tcBorders>
            <w:noWrap w:val="0"/>
            <w:vAlign w:val="center"/>
          </w:tcPr>
          <w:p>
            <w:pPr>
              <w:adjustRightInd w:val="0"/>
              <w:snapToGrid w:val="0"/>
              <w:jc w:val="left"/>
              <w:rPr>
                <w:rFonts w:hint="eastAsia"/>
                <w:color w:val="auto"/>
                <w:szCs w:val="21"/>
              </w:rPr>
            </w:pPr>
            <w:r>
              <w:rPr>
                <w:rFonts w:hint="eastAsia"/>
                <w:color w:val="auto"/>
                <w:szCs w:val="21"/>
              </w:rPr>
              <w:t>7、检定结论</w:t>
            </w:r>
          </w:p>
        </w:tc>
        <w:tc>
          <w:tcPr>
            <w:tcW w:w="8788" w:type="dxa"/>
            <w:gridSpan w:val="11"/>
            <w:tcBorders>
              <w:right w:val="single" w:color="auto" w:sz="8" w:space="0"/>
            </w:tcBorders>
            <w:noWrap w:val="0"/>
            <w:vAlign w:val="center"/>
          </w:tcPr>
          <w:p>
            <w:pPr>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57" w:hRule="atLeast"/>
        </w:trPr>
        <w:tc>
          <w:tcPr>
            <w:tcW w:w="1533" w:type="dxa"/>
            <w:gridSpan w:val="2"/>
            <w:tcBorders>
              <w:top w:val="single" w:color="auto" w:sz="4" w:space="0"/>
              <w:left w:val="single" w:color="auto" w:sz="8" w:space="0"/>
              <w:bottom w:val="single" w:color="auto" w:sz="12" w:space="0"/>
            </w:tcBorders>
            <w:noWrap w:val="0"/>
            <w:vAlign w:val="center"/>
          </w:tcPr>
          <w:p>
            <w:pPr>
              <w:jc w:val="center"/>
              <w:rPr>
                <w:rFonts w:hint="eastAsia"/>
                <w:color w:val="auto"/>
                <w:szCs w:val="21"/>
              </w:rPr>
            </w:pPr>
            <w:r>
              <w:rPr>
                <w:rFonts w:hint="eastAsia"/>
                <w:color w:val="auto"/>
                <w:szCs w:val="21"/>
              </w:rPr>
              <w:t>备注</w:t>
            </w:r>
          </w:p>
        </w:tc>
        <w:tc>
          <w:tcPr>
            <w:tcW w:w="8788" w:type="dxa"/>
            <w:gridSpan w:val="11"/>
            <w:tcBorders>
              <w:bottom w:val="single" w:color="auto" w:sz="12" w:space="0"/>
              <w:right w:val="single" w:color="auto" w:sz="8" w:space="0"/>
            </w:tcBorders>
            <w:noWrap w:val="0"/>
            <w:vAlign w:val="center"/>
          </w:tcPr>
          <w:p>
            <w:pPr>
              <w:rPr>
                <w:rFonts w:hint="eastAsia"/>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0" w:hRule="atLeast"/>
        </w:trPr>
        <w:tc>
          <w:tcPr>
            <w:tcW w:w="1533" w:type="dxa"/>
            <w:gridSpan w:val="2"/>
            <w:vMerge w:val="restart"/>
            <w:tcBorders>
              <w:top w:val="single" w:color="auto" w:sz="12" w:space="0"/>
              <w:left w:val="single" w:color="auto" w:sz="12" w:space="0"/>
              <w:bottom w:val="single" w:color="auto" w:sz="12" w:space="0"/>
              <w:right w:val="single" w:color="auto" w:sz="12" w:space="0"/>
            </w:tcBorders>
            <w:noWrap w:val="0"/>
            <w:vAlign w:val="center"/>
          </w:tcPr>
          <w:p>
            <w:pPr>
              <w:jc w:val="center"/>
              <w:rPr>
                <w:color w:val="auto"/>
                <w:szCs w:val="21"/>
              </w:rPr>
            </w:pPr>
            <w:r>
              <w:rPr>
                <w:rFonts w:hint="eastAsia"/>
                <w:color w:val="auto"/>
                <w:szCs w:val="21"/>
              </w:rPr>
              <w:t>计量标准</w:t>
            </w:r>
          </w:p>
          <w:p>
            <w:pPr>
              <w:adjustRightInd w:val="0"/>
              <w:snapToGrid w:val="0"/>
              <w:jc w:val="center"/>
              <w:rPr>
                <w:color w:val="auto"/>
                <w:szCs w:val="21"/>
              </w:rPr>
            </w:pPr>
            <w:r>
              <w:rPr>
                <w:rFonts w:hint="eastAsia"/>
                <w:color w:val="auto"/>
                <w:szCs w:val="21"/>
              </w:rPr>
              <w:t>装置</w:t>
            </w:r>
          </w:p>
        </w:tc>
        <w:tc>
          <w:tcPr>
            <w:tcW w:w="2126" w:type="dxa"/>
            <w:gridSpan w:val="2"/>
            <w:tcBorders>
              <w:top w:val="single" w:color="auto" w:sz="12" w:space="0"/>
              <w:left w:val="single" w:color="auto" w:sz="12" w:space="0"/>
              <w:bottom w:val="single" w:color="auto" w:sz="6" w:space="0"/>
            </w:tcBorders>
            <w:noWrap w:val="0"/>
            <w:vAlign w:val="center"/>
          </w:tcPr>
          <w:p>
            <w:pPr>
              <w:jc w:val="center"/>
              <w:rPr>
                <w:color w:val="auto"/>
                <w:szCs w:val="21"/>
              </w:rPr>
            </w:pPr>
            <w:r>
              <w:rPr>
                <w:rFonts w:hint="eastAsia"/>
                <w:color w:val="auto"/>
                <w:szCs w:val="21"/>
              </w:rPr>
              <w:t>名</w:t>
            </w:r>
            <w:r>
              <w:rPr>
                <w:color w:val="auto"/>
                <w:szCs w:val="21"/>
              </w:rPr>
              <w:t xml:space="preserve">  </w:t>
            </w:r>
            <w:r>
              <w:rPr>
                <w:rFonts w:hint="eastAsia"/>
                <w:color w:val="auto"/>
                <w:szCs w:val="21"/>
              </w:rPr>
              <w:t>称</w:t>
            </w:r>
          </w:p>
        </w:tc>
        <w:tc>
          <w:tcPr>
            <w:tcW w:w="1701" w:type="dxa"/>
            <w:gridSpan w:val="2"/>
            <w:tcBorders>
              <w:top w:val="single" w:color="auto" w:sz="12" w:space="0"/>
              <w:bottom w:val="single" w:color="auto" w:sz="6" w:space="0"/>
              <w:right w:val="single" w:color="auto" w:sz="4" w:space="0"/>
            </w:tcBorders>
            <w:noWrap w:val="0"/>
            <w:vAlign w:val="center"/>
          </w:tcPr>
          <w:p>
            <w:pPr>
              <w:jc w:val="center"/>
              <w:rPr>
                <w:color w:val="auto"/>
                <w:szCs w:val="21"/>
              </w:rPr>
            </w:pPr>
            <w:r>
              <w:rPr>
                <w:rFonts w:hint="eastAsia"/>
                <w:color w:val="auto"/>
                <w:szCs w:val="21"/>
              </w:rPr>
              <w:t>测量范围</w:t>
            </w:r>
          </w:p>
        </w:tc>
        <w:tc>
          <w:tcPr>
            <w:tcW w:w="1807" w:type="dxa"/>
            <w:gridSpan w:val="2"/>
            <w:tcBorders>
              <w:top w:val="single" w:color="auto" w:sz="12" w:space="0"/>
              <w:left w:val="single" w:color="auto" w:sz="4" w:space="0"/>
              <w:bottom w:val="single" w:color="auto" w:sz="6" w:space="0"/>
              <w:right w:val="single" w:color="auto" w:sz="4" w:space="0"/>
            </w:tcBorders>
            <w:noWrap w:val="0"/>
            <w:vAlign w:val="center"/>
          </w:tcPr>
          <w:p>
            <w:pPr>
              <w:jc w:val="center"/>
              <w:rPr>
                <w:color w:val="auto"/>
                <w:szCs w:val="21"/>
              </w:rPr>
            </w:pPr>
            <w:r>
              <w:rPr>
                <w:rFonts w:hint="eastAsia"/>
                <w:color w:val="auto"/>
                <w:szCs w:val="21"/>
              </w:rPr>
              <w:t>不确定度</w:t>
            </w:r>
            <w:r>
              <w:rPr>
                <w:color w:val="auto"/>
                <w:szCs w:val="21"/>
              </w:rPr>
              <w:t>/</w:t>
            </w:r>
            <w:r>
              <w:rPr>
                <w:rFonts w:hint="eastAsia"/>
                <w:color w:val="auto"/>
                <w:szCs w:val="21"/>
              </w:rPr>
              <w:t>准确度</w:t>
            </w:r>
          </w:p>
        </w:tc>
        <w:tc>
          <w:tcPr>
            <w:tcW w:w="1878" w:type="dxa"/>
            <w:gridSpan w:val="3"/>
            <w:tcBorders>
              <w:top w:val="single" w:color="auto" w:sz="12" w:space="0"/>
              <w:left w:val="single" w:color="auto" w:sz="4" w:space="0"/>
              <w:bottom w:val="single" w:color="auto" w:sz="6" w:space="0"/>
              <w:right w:val="single" w:color="auto" w:sz="4" w:space="0"/>
            </w:tcBorders>
            <w:noWrap w:val="0"/>
            <w:vAlign w:val="center"/>
          </w:tcPr>
          <w:p>
            <w:pPr>
              <w:jc w:val="center"/>
              <w:rPr>
                <w:color w:val="auto"/>
                <w:szCs w:val="21"/>
              </w:rPr>
            </w:pPr>
            <w:r>
              <w:rPr>
                <w:rFonts w:hint="eastAsia"/>
                <w:color w:val="auto"/>
                <w:szCs w:val="21"/>
              </w:rPr>
              <w:t>计量标准证书编号</w:t>
            </w:r>
          </w:p>
        </w:tc>
        <w:tc>
          <w:tcPr>
            <w:tcW w:w="1276" w:type="dxa"/>
            <w:gridSpan w:val="2"/>
            <w:tcBorders>
              <w:top w:val="single" w:color="auto" w:sz="12" w:space="0"/>
              <w:left w:val="single" w:color="auto" w:sz="4" w:space="0"/>
              <w:bottom w:val="single" w:color="auto" w:sz="6" w:space="0"/>
              <w:right w:val="single" w:color="auto" w:sz="12" w:space="0"/>
            </w:tcBorders>
            <w:noWrap w:val="0"/>
            <w:vAlign w:val="center"/>
          </w:tcPr>
          <w:p>
            <w:pPr>
              <w:jc w:val="center"/>
              <w:rPr>
                <w:color w:val="auto"/>
                <w:szCs w:val="21"/>
              </w:rPr>
            </w:pPr>
            <w:r>
              <w:rPr>
                <w:rFonts w:hint="eastAsia"/>
                <w:color w:val="auto"/>
                <w:szCs w:val="21"/>
              </w:rPr>
              <w:t>有效期至</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24" w:hRule="atLeast"/>
        </w:trPr>
        <w:tc>
          <w:tcPr>
            <w:tcW w:w="1533" w:type="dxa"/>
            <w:gridSpan w:val="2"/>
            <w:vMerge w:val="continue"/>
            <w:tcBorders>
              <w:top w:val="single" w:color="auto" w:sz="12" w:space="0"/>
              <w:left w:val="single" w:color="auto" w:sz="12" w:space="0"/>
              <w:bottom w:val="single" w:color="auto" w:sz="12" w:space="0"/>
              <w:right w:val="single" w:color="auto" w:sz="12" w:space="0"/>
            </w:tcBorders>
            <w:noWrap w:val="0"/>
            <w:vAlign w:val="top"/>
          </w:tcPr>
          <w:p>
            <w:pPr>
              <w:jc w:val="center"/>
              <w:rPr>
                <w:rFonts w:hint="eastAsia"/>
                <w:color w:val="auto"/>
                <w:szCs w:val="21"/>
              </w:rPr>
            </w:pPr>
          </w:p>
        </w:tc>
        <w:tc>
          <w:tcPr>
            <w:tcW w:w="2126" w:type="dxa"/>
            <w:gridSpan w:val="2"/>
            <w:tcBorders>
              <w:top w:val="single" w:color="auto" w:sz="6" w:space="0"/>
              <w:left w:val="single" w:color="auto" w:sz="12" w:space="0"/>
            </w:tcBorders>
            <w:noWrap w:val="0"/>
            <w:vAlign w:val="center"/>
          </w:tcPr>
          <w:p>
            <w:pPr>
              <w:adjustRightInd w:val="0"/>
              <w:snapToGrid w:val="0"/>
              <w:jc w:val="center"/>
              <w:rPr>
                <w:rFonts w:hint="eastAsia"/>
                <w:color w:val="auto"/>
                <w:szCs w:val="21"/>
              </w:rPr>
            </w:pPr>
          </w:p>
        </w:tc>
        <w:tc>
          <w:tcPr>
            <w:tcW w:w="1701" w:type="dxa"/>
            <w:gridSpan w:val="2"/>
            <w:tcBorders>
              <w:top w:val="single" w:color="auto" w:sz="6" w:space="0"/>
              <w:right w:val="single" w:color="auto" w:sz="4" w:space="0"/>
            </w:tcBorders>
            <w:noWrap w:val="0"/>
            <w:vAlign w:val="center"/>
          </w:tcPr>
          <w:p>
            <w:pPr>
              <w:adjustRightInd w:val="0"/>
              <w:snapToGrid w:val="0"/>
              <w:jc w:val="center"/>
              <w:rPr>
                <w:rFonts w:hint="eastAsia"/>
                <w:color w:val="auto"/>
                <w:szCs w:val="21"/>
              </w:rPr>
            </w:pPr>
          </w:p>
        </w:tc>
        <w:tc>
          <w:tcPr>
            <w:tcW w:w="1807" w:type="dxa"/>
            <w:gridSpan w:val="2"/>
            <w:tcBorders>
              <w:top w:val="single" w:color="auto" w:sz="6" w:space="0"/>
              <w:left w:val="single" w:color="auto" w:sz="4" w:space="0"/>
              <w:right w:val="single" w:color="auto" w:sz="4" w:space="0"/>
            </w:tcBorders>
            <w:noWrap w:val="0"/>
            <w:vAlign w:val="center"/>
          </w:tcPr>
          <w:p>
            <w:pPr>
              <w:adjustRightInd w:val="0"/>
              <w:snapToGrid w:val="0"/>
              <w:jc w:val="center"/>
              <w:rPr>
                <w:rFonts w:hint="eastAsia"/>
                <w:color w:val="auto"/>
                <w:szCs w:val="21"/>
              </w:rPr>
            </w:pPr>
          </w:p>
        </w:tc>
        <w:tc>
          <w:tcPr>
            <w:tcW w:w="1878" w:type="dxa"/>
            <w:gridSpan w:val="3"/>
            <w:tcBorders>
              <w:top w:val="single" w:color="auto" w:sz="6" w:space="0"/>
              <w:left w:val="single" w:color="auto" w:sz="4" w:space="0"/>
              <w:right w:val="single" w:color="auto" w:sz="4" w:space="0"/>
            </w:tcBorders>
            <w:noWrap w:val="0"/>
            <w:vAlign w:val="center"/>
          </w:tcPr>
          <w:p>
            <w:pPr>
              <w:adjustRightInd w:val="0"/>
              <w:snapToGrid w:val="0"/>
              <w:jc w:val="center"/>
              <w:rPr>
                <w:color w:val="auto"/>
                <w:szCs w:val="21"/>
              </w:rPr>
            </w:pPr>
          </w:p>
        </w:tc>
        <w:tc>
          <w:tcPr>
            <w:tcW w:w="1276" w:type="dxa"/>
            <w:gridSpan w:val="2"/>
            <w:tcBorders>
              <w:top w:val="single" w:color="auto" w:sz="6" w:space="0"/>
              <w:left w:val="single" w:color="auto" w:sz="4" w:space="0"/>
              <w:right w:val="single" w:color="auto" w:sz="12" w:space="0"/>
            </w:tcBorders>
            <w:noWrap w:val="0"/>
            <w:vAlign w:val="center"/>
          </w:tcPr>
          <w:p>
            <w:pPr>
              <w:adjustRightInd w:val="0"/>
              <w:snapToGrid w:val="0"/>
              <w:jc w:val="center"/>
              <w:rPr>
                <w:color w:val="auto"/>
                <w:szCs w:val="21"/>
              </w:rPr>
            </w:pPr>
          </w:p>
        </w:tc>
      </w:tr>
    </w:tbl>
    <w:p>
      <w:pPr>
        <w:rPr>
          <w:rFonts w:hint="eastAsia"/>
          <w:color w:val="auto"/>
          <w:szCs w:val="21"/>
        </w:rPr>
      </w:pPr>
    </w:p>
    <w:p>
      <w:pPr>
        <w:rPr>
          <w:color w:val="auto"/>
          <w:szCs w:val="21"/>
        </w:rPr>
      </w:pPr>
      <w:r>
        <w:rPr>
          <w:rFonts w:hint="eastAsia"/>
          <w:color w:val="auto"/>
          <w:szCs w:val="21"/>
        </w:rPr>
        <w:t>检定人员：                  核验人员：                 检定日期：</w:t>
      </w:r>
    </w:p>
    <w:p>
      <w:pPr>
        <w:pStyle w:val="24"/>
        <w:ind w:firstLine="480"/>
        <w:rPr>
          <w:rFonts w:hint="eastAsia" w:hAnsi="宋体"/>
          <w:color w:val="auto"/>
          <w:sz w:val="24"/>
        </w:rPr>
      </w:pPr>
    </w:p>
    <w:p>
      <w:pPr>
        <w:pStyle w:val="24"/>
        <w:ind w:firstLine="420"/>
        <w:rPr>
          <w:rFonts w:hint="eastAsia"/>
          <w:color w:val="auto"/>
        </w:rPr>
      </w:pPr>
    </w:p>
    <w:p>
      <w:pPr>
        <w:pStyle w:val="26"/>
        <w:pageBreakBefore/>
        <w:jc w:val="both"/>
        <w:rPr>
          <w:rFonts w:hint="eastAsia"/>
          <w:color w:val="auto"/>
          <w:sz w:val="28"/>
          <w:szCs w:val="28"/>
        </w:rPr>
      </w:pPr>
      <w:r>
        <w:rPr>
          <w:rFonts w:hint="eastAsia"/>
          <w:color w:val="auto"/>
          <w:sz w:val="28"/>
          <w:szCs w:val="28"/>
        </w:rPr>
        <w:t>附录C          检定证书/检定结果通知书内页信息及格式</w:t>
      </w:r>
      <w:bookmarkEnd w:id="218"/>
    </w:p>
    <w:p>
      <w:pPr>
        <w:tabs>
          <w:tab w:val="left" w:pos="10440"/>
        </w:tabs>
        <w:ind w:right="1089"/>
        <w:rPr>
          <w:rFonts w:ascii="宋体" w:hAnsi="宋体"/>
          <w:b/>
          <w:bCs/>
          <w:color w:val="auto"/>
          <w:sz w:val="24"/>
        </w:rPr>
      </w:pPr>
      <w:r>
        <w:rPr>
          <w:rFonts w:hint="eastAsia" w:ascii="宋体" w:hAnsi="宋体"/>
          <w:b/>
          <w:color w:val="auto"/>
          <w:sz w:val="24"/>
        </w:rPr>
        <w:t>C.</w:t>
      </w:r>
      <w:r>
        <w:rPr>
          <w:rFonts w:ascii="宋体" w:hAnsi="宋体"/>
          <w:b/>
          <w:color w:val="auto"/>
          <w:sz w:val="24"/>
        </w:rPr>
        <w:t>1</w:t>
      </w:r>
      <w:r>
        <w:rPr>
          <w:rFonts w:ascii="宋体" w:hAnsi="宋体"/>
          <w:b/>
          <w:bCs/>
          <w:color w:val="auto"/>
          <w:sz w:val="24"/>
        </w:rPr>
        <w:t>检定证书内页信息格式</w:t>
      </w:r>
    </w:p>
    <w:p>
      <w:pPr>
        <w:ind w:right="176"/>
        <w:rPr>
          <w:rFonts w:hint="eastAsia" w:ascii="黑体" w:hAnsi="Arial Black"/>
          <w:color w:val="auto"/>
          <w:sz w:val="24"/>
        </w:rPr>
      </w:pPr>
      <w:r>
        <w:rPr>
          <w:rFonts w:hint="eastAsia" w:ascii="宋体" w:hAnsi="宋体"/>
          <w:color w:val="auto"/>
          <w:sz w:val="24"/>
        </w:rPr>
        <w:t>C.</w:t>
      </w:r>
      <w:r>
        <w:rPr>
          <w:rFonts w:ascii="宋体" w:hAnsi="宋体"/>
          <w:color w:val="auto"/>
          <w:sz w:val="24"/>
        </w:rPr>
        <w:t>1.1</w:t>
      </w:r>
      <w:r>
        <w:rPr>
          <w:rFonts w:hint="eastAsia" w:ascii="黑体" w:hAnsi="Arial Black"/>
          <w:color w:val="auto"/>
          <w:sz w:val="24"/>
        </w:rPr>
        <w:t>检定证书/检定结果通知书内页格式式样</w:t>
      </w:r>
    </w:p>
    <w:tbl>
      <w:tblPr>
        <w:tblStyle w:val="18"/>
        <w:tblW w:w="89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1"/>
        <w:gridCol w:w="1304"/>
        <w:gridCol w:w="477"/>
        <w:gridCol w:w="799"/>
        <w:gridCol w:w="982"/>
        <w:gridCol w:w="719"/>
        <w:gridCol w:w="1062"/>
        <w:gridCol w:w="198"/>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06" w:type="dxa"/>
            <w:gridSpan w:val="9"/>
            <w:noWrap w:val="0"/>
            <w:vAlign w:val="center"/>
          </w:tcPr>
          <w:p>
            <w:pPr>
              <w:ind w:right="176"/>
              <w:jc w:val="center"/>
              <w:rPr>
                <w:rFonts w:hint="eastAsia" w:ascii="黑体" w:hAnsi="Arial Black"/>
                <w:color w:val="auto"/>
                <w:szCs w:val="21"/>
              </w:rPr>
            </w:pPr>
            <w:r>
              <w:rPr>
                <w:rFonts w:hint="eastAsia" w:ascii="黑体" w:hAnsi="Arial Black"/>
                <w:color w:val="auto"/>
                <w:szCs w:val="21"/>
              </w:rPr>
              <w:t>证书编号 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06" w:type="dxa"/>
            <w:gridSpan w:val="9"/>
            <w:noWrap w:val="0"/>
            <w:vAlign w:val="center"/>
          </w:tcPr>
          <w:p>
            <w:pPr>
              <w:ind w:right="176"/>
              <w:rPr>
                <w:rFonts w:hint="eastAsia" w:ascii="黑体" w:hAnsi="Arial Black"/>
                <w:color w:val="auto"/>
                <w:szCs w:val="21"/>
              </w:rPr>
            </w:pPr>
            <w:r>
              <w:rPr>
                <w:rFonts w:hint="eastAsia" w:ascii="黑体" w:hAnsi="Arial Black"/>
                <w:color w:val="auto"/>
                <w:szCs w:val="21"/>
              </w:rPr>
              <w:t>检定环境条件及地点：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noWrap w:val="0"/>
            <w:vAlign w:val="center"/>
          </w:tcPr>
          <w:p>
            <w:pPr>
              <w:ind w:right="176"/>
              <w:jc w:val="center"/>
              <w:rPr>
                <w:rFonts w:hint="eastAsia" w:ascii="黑体" w:hAnsi="Arial Black"/>
                <w:color w:val="auto"/>
                <w:szCs w:val="21"/>
              </w:rPr>
            </w:pPr>
            <w:r>
              <w:rPr>
                <w:rFonts w:hint="eastAsia" w:ascii="黑体" w:hAnsi="Arial Black"/>
                <w:color w:val="auto"/>
                <w:szCs w:val="21"/>
              </w:rPr>
              <w:t>温    度</w:t>
            </w:r>
          </w:p>
        </w:tc>
        <w:tc>
          <w:tcPr>
            <w:tcW w:w="1304" w:type="dxa"/>
            <w:noWrap w:val="0"/>
            <w:vAlign w:val="center"/>
          </w:tcPr>
          <w:p>
            <w:pPr>
              <w:ind w:right="176"/>
              <w:jc w:val="right"/>
              <w:rPr>
                <w:rFonts w:hint="eastAsia" w:ascii="黑体" w:hAnsi="Arial Black"/>
                <w:color w:val="auto"/>
                <w:szCs w:val="21"/>
              </w:rPr>
            </w:pPr>
            <w:r>
              <w:rPr>
                <w:rFonts w:hint="eastAsia" w:ascii="黑体" w:hAnsi="Arial Black"/>
                <w:color w:val="auto"/>
                <w:szCs w:val="21"/>
              </w:rPr>
              <w:t>℃</w:t>
            </w:r>
          </w:p>
        </w:tc>
        <w:tc>
          <w:tcPr>
            <w:tcW w:w="1276" w:type="dxa"/>
            <w:gridSpan w:val="2"/>
            <w:noWrap w:val="0"/>
            <w:vAlign w:val="center"/>
          </w:tcPr>
          <w:p>
            <w:pPr>
              <w:ind w:right="-108"/>
              <w:jc w:val="center"/>
              <w:rPr>
                <w:rFonts w:hint="eastAsia" w:ascii="黑体" w:hAnsi="Arial Black"/>
                <w:color w:val="auto"/>
                <w:szCs w:val="21"/>
              </w:rPr>
            </w:pPr>
            <w:r>
              <w:rPr>
                <w:rFonts w:hint="eastAsia" w:ascii="黑体" w:hAnsi="Arial Black"/>
                <w:color w:val="auto"/>
                <w:szCs w:val="21"/>
              </w:rPr>
              <w:t>地   点</w:t>
            </w:r>
          </w:p>
        </w:tc>
        <w:tc>
          <w:tcPr>
            <w:tcW w:w="4545" w:type="dxa"/>
            <w:gridSpan w:val="5"/>
            <w:noWrap w:val="0"/>
            <w:vAlign w:val="center"/>
          </w:tcPr>
          <w:p>
            <w:pPr>
              <w:ind w:right="176"/>
              <w:jc w:val="center"/>
              <w:rPr>
                <w:rFonts w:hint="eastAsia" w:ascii="黑体" w:hAnsi="Arial Black"/>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noWrap w:val="0"/>
            <w:vAlign w:val="center"/>
          </w:tcPr>
          <w:p>
            <w:pPr>
              <w:ind w:right="176"/>
              <w:jc w:val="center"/>
              <w:rPr>
                <w:rFonts w:hint="eastAsia" w:ascii="黑体" w:hAnsi="Arial Black"/>
                <w:color w:val="auto"/>
                <w:szCs w:val="21"/>
              </w:rPr>
            </w:pPr>
            <w:r>
              <w:rPr>
                <w:rFonts w:hint="eastAsia" w:ascii="黑体" w:hAnsi="Arial Black"/>
                <w:color w:val="auto"/>
                <w:szCs w:val="21"/>
              </w:rPr>
              <w:t>相对湿度</w:t>
            </w:r>
          </w:p>
        </w:tc>
        <w:tc>
          <w:tcPr>
            <w:tcW w:w="1304" w:type="dxa"/>
            <w:noWrap w:val="0"/>
            <w:vAlign w:val="center"/>
          </w:tcPr>
          <w:p>
            <w:pPr>
              <w:ind w:right="176"/>
              <w:jc w:val="right"/>
              <w:rPr>
                <w:rFonts w:hint="eastAsia" w:ascii="黑体" w:hAnsi="Arial Black"/>
                <w:color w:val="auto"/>
                <w:szCs w:val="21"/>
              </w:rPr>
            </w:pPr>
            <w:r>
              <w:rPr>
                <w:rFonts w:hint="eastAsia" w:ascii="黑体" w:hAnsi="Arial Black"/>
                <w:color w:val="auto"/>
                <w:szCs w:val="21"/>
              </w:rPr>
              <w:t>%</w:t>
            </w:r>
          </w:p>
        </w:tc>
        <w:tc>
          <w:tcPr>
            <w:tcW w:w="1276" w:type="dxa"/>
            <w:gridSpan w:val="2"/>
            <w:noWrap w:val="0"/>
            <w:vAlign w:val="center"/>
          </w:tcPr>
          <w:p>
            <w:pPr>
              <w:ind w:right="-108"/>
              <w:jc w:val="center"/>
              <w:rPr>
                <w:rFonts w:hint="eastAsia" w:ascii="黑体" w:hAnsi="Arial Black"/>
                <w:color w:val="auto"/>
                <w:szCs w:val="21"/>
              </w:rPr>
            </w:pPr>
            <w:r>
              <w:rPr>
                <w:rFonts w:hint="eastAsia" w:ascii="黑体" w:hAnsi="Arial Black"/>
                <w:color w:val="auto"/>
                <w:szCs w:val="21"/>
              </w:rPr>
              <w:t>大气压力</w:t>
            </w:r>
          </w:p>
        </w:tc>
        <w:tc>
          <w:tcPr>
            <w:tcW w:w="1701" w:type="dxa"/>
            <w:gridSpan w:val="2"/>
            <w:noWrap w:val="0"/>
            <w:vAlign w:val="center"/>
          </w:tcPr>
          <w:p>
            <w:pPr>
              <w:ind w:right="176"/>
              <w:jc w:val="right"/>
              <w:rPr>
                <w:rFonts w:hint="eastAsia" w:ascii="黑体" w:hAnsi="Arial Black"/>
                <w:color w:val="auto"/>
                <w:szCs w:val="21"/>
              </w:rPr>
            </w:pPr>
            <w:r>
              <w:rPr>
                <w:rFonts w:hint="eastAsia" w:ascii="宋体" w:hAnsi="Arial Black"/>
                <w:color w:val="auto"/>
                <w:szCs w:val="21"/>
              </w:rPr>
              <w:t>kPa</w:t>
            </w:r>
          </w:p>
        </w:tc>
        <w:tc>
          <w:tcPr>
            <w:tcW w:w="1260" w:type="dxa"/>
            <w:gridSpan w:val="2"/>
            <w:noWrap w:val="0"/>
            <w:vAlign w:val="center"/>
          </w:tcPr>
          <w:p>
            <w:pPr>
              <w:ind w:right="-124"/>
              <w:jc w:val="center"/>
              <w:rPr>
                <w:rFonts w:hint="eastAsia" w:ascii="黑体" w:hAnsi="Arial Black"/>
                <w:color w:val="auto"/>
                <w:szCs w:val="21"/>
              </w:rPr>
            </w:pPr>
            <w:r>
              <w:rPr>
                <w:rFonts w:hint="eastAsia" w:ascii="黑体"/>
                <w:color w:val="auto"/>
                <w:szCs w:val="21"/>
              </w:rPr>
              <w:t>检定介质</w:t>
            </w:r>
          </w:p>
        </w:tc>
        <w:tc>
          <w:tcPr>
            <w:tcW w:w="1584" w:type="dxa"/>
            <w:noWrap w:val="0"/>
            <w:vAlign w:val="center"/>
          </w:tcPr>
          <w:p>
            <w:pPr>
              <w:ind w:right="176"/>
              <w:jc w:val="center"/>
              <w:rPr>
                <w:rFonts w:hint="eastAsia" w:ascii="黑体" w:hAnsi="Arial Black"/>
                <w:color w:val="auto"/>
                <w:szCs w:val="21"/>
              </w:rPr>
            </w:pPr>
            <w:r>
              <w:rPr>
                <w:rFonts w:hint="eastAsia" w:ascii="黑体" w:hAnsi="宋体"/>
                <w:color w:val="auto"/>
                <w:szCs w:val="21"/>
              </w:rPr>
              <w:t>空气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06" w:type="dxa"/>
            <w:gridSpan w:val="9"/>
            <w:noWrap w:val="0"/>
            <w:vAlign w:val="top"/>
          </w:tcPr>
          <w:p>
            <w:pPr>
              <w:ind w:right="176"/>
              <w:rPr>
                <w:rFonts w:hint="eastAsia" w:ascii="黑体" w:hAnsi="Arial Black"/>
                <w:color w:val="auto"/>
                <w:szCs w:val="21"/>
              </w:rPr>
            </w:pPr>
            <w:r>
              <w:rPr>
                <w:rFonts w:hint="eastAsia" w:ascii="黑体" w:hAnsi="Arial Black"/>
                <w:color w:val="auto"/>
                <w:szCs w:val="21"/>
              </w:rPr>
              <w:t>检定使用的计量标准装置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81" w:type="dxa"/>
            <w:tcBorders>
              <w:bottom w:val="single" w:color="auto" w:sz="4" w:space="0"/>
            </w:tcBorders>
            <w:noWrap w:val="0"/>
            <w:vAlign w:val="center"/>
          </w:tcPr>
          <w:p>
            <w:pPr>
              <w:ind w:right="176"/>
              <w:jc w:val="center"/>
              <w:rPr>
                <w:rFonts w:hint="eastAsia" w:ascii="黑体" w:hAnsi="Arial Black"/>
                <w:color w:val="auto"/>
                <w:szCs w:val="21"/>
              </w:rPr>
            </w:pPr>
            <w:r>
              <w:rPr>
                <w:rFonts w:hint="eastAsia" w:ascii="黑体" w:hAnsi="Arial Black"/>
                <w:color w:val="auto"/>
                <w:szCs w:val="21"/>
              </w:rPr>
              <w:t>名    称</w:t>
            </w:r>
          </w:p>
        </w:tc>
        <w:tc>
          <w:tcPr>
            <w:tcW w:w="1781" w:type="dxa"/>
            <w:gridSpan w:val="2"/>
            <w:tcBorders>
              <w:bottom w:val="single" w:color="auto" w:sz="4" w:space="0"/>
            </w:tcBorders>
            <w:noWrap w:val="0"/>
            <w:vAlign w:val="center"/>
          </w:tcPr>
          <w:p>
            <w:pPr>
              <w:ind w:right="176"/>
              <w:jc w:val="center"/>
              <w:rPr>
                <w:rFonts w:hint="eastAsia" w:ascii="黑体" w:hAnsi="Arial Black"/>
                <w:color w:val="auto"/>
                <w:szCs w:val="21"/>
              </w:rPr>
            </w:pPr>
            <w:r>
              <w:rPr>
                <w:rFonts w:hint="eastAsia" w:ascii="黑体" w:hAnsi="Arial Black"/>
                <w:color w:val="auto"/>
                <w:szCs w:val="21"/>
              </w:rPr>
              <w:t>测量范围</w:t>
            </w:r>
          </w:p>
        </w:tc>
        <w:tc>
          <w:tcPr>
            <w:tcW w:w="1781" w:type="dxa"/>
            <w:gridSpan w:val="2"/>
            <w:tcBorders>
              <w:bottom w:val="single" w:color="auto" w:sz="4" w:space="0"/>
            </w:tcBorders>
            <w:noWrap w:val="0"/>
            <w:vAlign w:val="center"/>
          </w:tcPr>
          <w:p>
            <w:pPr>
              <w:ind w:left="-168" w:leftChars="-80" w:right="-118"/>
              <w:jc w:val="center"/>
              <w:rPr>
                <w:rFonts w:hint="eastAsia" w:ascii="黑体" w:hAnsi="Arial Black"/>
                <w:color w:val="auto"/>
                <w:szCs w:val="21"/>
              </w:rPr>
            </w:pPr>
            <w:r>
              <w:rPr>
                <w:rFonts w:hint="eastAsia" w:ascii="黑体" w:hAnsi="Arial Black"/>
                <w:color w:val="auto"/>
                <w:szCs w:val="21"/>
              </w:rPr>
              <w:t>不确定度/准确</w:t>
            </w:r>
          </w:p>
          <w:p>
            <w:pPr>
              <w:ind w:left="-19" w:leftChars="-9"/>
              <w:jc w:val="center"/>
              <w:rPr>
                <w:rFonts w:hint="eastAsia" w:ascii="黑体" w:hAnsi="Arial Black"/>
                <w:color w:val="auto"/>
                <w:szCs w:val="21"/>
              </w:rPr>
            </w:pPr>
            <w:r>
              <w:rPr>
                <w:rFonts w:hint="eastAsia" w:ascii="黑体" w:hAnsi="Arial Black"/>
                <w:color w:val="auto"/>
                <w:szCs w:val="21"/>
              </w:rPr>
              <w:t>度等级/最大允许误差</w:t>
            </w:r>
          </w:p>
        </w:tc>
        <w:tc>
          <w:tcPr>
            <w:tcW w:w="1781" w:type="dxa"/>
            <w:gridSpan w:val="2"/>
            <w:tcBorders>
              <w:bottom w:val="single" w:color="auto" w:sz="4" w:space="0"/>
            </w:tcBorders>
            <w:noWrap w:val="0"/>
            <w:vAlign w:val="center"/>
          </w:tcPr>
          <w:p>
            <w:pPr>
              <w:tabs>
                <w:tab w:val="left" w:pos="1565"/>
              </w:tabs>
              <w:ind w:left="-103" w:leftChars="-49"/>
              <w:jc w:val="center"/>
              <w:rPr>
                <w:rFonts w:hint="eastAsia" w:ascii="黑体" w:hAnsi="Arial Black"/>
                <w:color w:val="auto"/>
                <w:szCs w:val="21"/>
              </w:rPr>
            </w:pPr>
            <w:r>
              <w:rPr>
                <w:rFonts w:hint="eastAsia" w:ascii="黑体" w:hAnsi="Arial Black"/>
                <w:color w:val="auto"/>
                <w:szCs w:val="21"/>
              </w:rPr>
              <w:t>计量标准</w:t>
            </w:r>
          </w:p>
          <w:p>
            <w:pPr>
              <w:ind w:right="176"/>
              <w:jc w:val="center"/>
              <w:rPr>
                <w:rFonts w:hint="eastAsia" w:ascii="黑体" w:hAnsi="Arial Black"/>
                <w:color w:val="auto"/>
                <w:szCs w:val="21"/>
              </w:rPr>
            </w:pPr>
            <w:r>
              <w:rPr>
                <w:rFonts w:hint="eastAsia" w:ascii="黑体" w:hAnsi="Arial Black"/>
                <w:color w:val="auto"/>
                <w:szCs w:val="21"/>
              </w:rPr>
              <w:t>证书编号</w:t>
            </w:r>
          </w:p>
        </w:tc>
        <w:tc>
          <w:tcPr>
            <w:tcW w:w="1782" w:type="dxa"/>
            <w:gridSpan w:val="2"/>
            <w:tcBorders>
              <w:bottom w:val="single" w:color="auto" w:sz="4" w:space="0"/>
            </w:tcBorders>
            <w:noWrap w:val="0"/>
            <w:vAlign w:val="center"/>
          </w:tcPr>
          <w:p>
            <w:pPr>
              <w:ind w:right="176"/>
              <w:jc w:val="center"/>
              <w:rPr>
                <w:rFonts w:hint="eastAsia" w:ascii="黑体" w:hAnsi="Arial Black"/>
                <w:color w:val="auto"/>
                <w:szCs w:val="21"/>
              </w:rPr>
            </w:pPr>
            <w:r>
              <w:rPr>
                <w:rFonts w:hint="eastAsia" w:ascii="黑体" w:hAnsi="Arial Black"/>
                <w:color w:val="auto"/>
                <w:szCs w:val="21"/>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trPr>
        <w:tc>
          <w:tcPr>
            <w:tcW w:w="1781" w:type="dxa"/>
            <w:tcBorders>
              <w:bottom w:val="nil"/>
            </w:tcBorders>
            <w:noWrap w:val="0"/>
            <w:vAlign w:val="center"/>
          </w:tcPr>
          <w:p>
            <w:pPr>
              <w:ind w:right="176"/>
              <w:jc w:val="center"/>
              <w:rPr>
                <w:rFonts w:hint="eastAsia" w:ascii="黑体" w:hAnsi="Arial Black"/>
                <w:color w:val="auto"/>
                <w:szCs w:val="21"/>
              </w:rPr>
            </w:pPr>
          </w:p>
        </w:tc>
        <w:tc>
          <w:tcPr>
            <w:tcW w:w="1781" w:type="dxa"/>
            <w:gridSpan w:val="2"/>
            <w:tcBorders>
              <w:bottom w:val="nil"/>
            </w:tcBorders>
            <w:noWrap w:val="0"/>
            <w:vAlign w:val="center"/>
          </w:tcPr>
          <w:p>
            <w:pPr>
              <w:ind w:right="176"/>
              <w:jc w:val="center"/>
              <w:rPr>
                <w:rFonts w:hint="eastAsia" w:ascii="黑体" w:hAnsi="Arial Black"/>
                <w:color w:val="auto"/>
                <w:szCs w:val="21"/>
              </w:rPr>
            </w:pPr>
          </w:p>
        </w:tc>
        <w:tc>
          <w:tcPr>
            <w:tcW w:w="1781" w:type="dxa"/>
            <w:gridSpan w:val="2"/>
            <w:tcBorders>
              <w:bottom w:val="nil"/>
            </w:tcBorders>
            <w:noWrap w:val="0"/>
            <w:vAlign w:val="center"/>
          </w:tcPr>
          <w:p>
            <w:pPr>
              <w:ind w:left="-168" w:leftChars="-80" w:right="-118"/>
              <w:jc w:val="center"/>
              <w:rPr>
                <w:rFonts w:hint="eastAsia" w:ascii="黑体" w:hAnsi="Arial Black"/>
                <w:color w:val="auto"/>
                <w:szCs w:val="21"/>
              </w:rPr>
            </w:pPr>
          </w:p>
        </w:tc>
        <w:tc>
          <w:tcPr>
            <w:tcW w:w="1781" w:type="dxa"/>
            <w:gridSpan w:val="2"/>
            <w:tcBorders>
              <w:bottom w:val="nil"/>
            </w:tcBorders>
            <w:noWrap w:val="0"/>
            <w:vAlign w:val="center"/>
          </w:tcPr>
          <w:p>
            <w:pPr>
              <w:tabs>
                <w:tab w:val="left" w:pos="1565"/>
              </w:tabs>
              <w:ind w:left="-103" w:leftChars="-49"/>
              <w:jc w:val="center"/>
              <w:rPr>
                <w:rFonts w:hint="eastAsia" w:ascii="黑体" w:hAnsi="Arial Black"/>
                <w:color w:val="auto"/>
                <w:szCs w:val="21"/>
              </w:rPr>
            </w:pPr>
          </w:p>
        </w:tc>
        <w:tc>
          <w:tcPr>
            <w:tcW w:w="1782" w:type="dxa"/>
            <w:gridSpan w:val="2"/>
            <w:tcBorders>
              <w:bottom w:val="nil"/>
            </w:tcBorders>
            <w:noWrap w:val="0"/>
            <w:vAlign w:val="center"/>
          </w:tcPr>
          <w:p>
            <w:pPr>
              <w:ind w:right="176"/>
              <w:jc w:val="center"/>
              <w:rPr>
                <w:rFonts w:hint="eastAsia" w:ascii="黑体" w:hAnsi="Arial Black"/>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6" w:hRule="atLeast"/>
        </w:trPr>
        <w:tc>
          <w:tcPr>
            <w:tcW w:w="8906" w:type="dxa"/>
            <w:gridSpan w:val="9"/>
            <w:noWrap w:val="0"/>
            <w:vAlign w:val="center"/>
          </w:tcPr>
          <w:p>
            <w:pPr>
              <w:ind w:right="176"/>
              <w:jc w:val="center"/>
              <w:rPr>
                <w:rFonts w:hint="eastAsia" w:ascii="黑体" w:hAnsi="Arial Black"/>
                <w:color w:val="auto"/>
                <w:szCs w:val="21"/>
              </w:rPr>
            </w:pPr>
            <w:r>
              <w:rPr>
                <w:rFonts w:hint="eastAsia" w:ascii="黑体" w:hAnsi="Arial Black"/>
                <w:color w:val="auto"/>
                <w:szCs w:val="21"/>
              </w:rPr>
              <w:t>检定声明</w:t>
            </w:r>
          </w:p>
          <w:p>
            <w:pPr>
              <w:ind w:right="176"/>
              <w:jc w:val="center"/>
              <w:rPr>
                <w:rFonts w:hint="eastAsia" w:ascii="黑体" w:hAnsi="Arial Black"/>
                <w:color w:val="auto"/>
                <w:szCs w:val="21"/>
              </w:rPr>
            </w:pPr>
            <w:r>
              <w:rPr>
                <w:rFonts w:hint="eastAsia" w:ascii="黑体" w:hAnsi="Arial Black"/>
                <w:color w:val="auto"/>
                <w:szCs w:val="21"/>
              </w:rPr>
              <w:t>未经本院许可，严禁部分复制证书，严禁擅自篡改本证书的内容，引起法律纠纷者，责任自负。</w:t>
            </w:r>
          </w:p>
        </w:tc>
      </w:tr>
    </w:tbl>
    <w:p>
      <w:pPr>
        <w:ind w:right="178"/>
        <w:rPr>
          <w:rFonts w:hint="eastAsia" w:ascii="黑体" w:hAnsi="宋体"/>
          <w:color w:val="auto"/>
          <w:sz w:val="24"/>
        </w:rPr>
      </w:pPr>
      <w:r>
        <w:rPr>
          <w:rFonts w:hint="eastAsia" w:ascii="黑体" w:hAnsi="宋体"/>
          <w:color w:val="auto"/>
          <w:sz w:val="24"/>
        </w:rPr>
        <w:t>C.1.2 检定项目及结果</w:t>
      </w:r>
    </w:p>
    <w:tbl>
      <w:tblPr>
        <w:tblStyle w:val="18"/>
        <w:tblW w:w="8910" w:type="dxa"/>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
        <w:gridCol w:w="3259"/>
        <w:gridCol w:w="4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jc w:val="center"/>
              <w:rPr>
                <w:rFonts w:hint="eastAsia" w:ascii="黑体"/>
                <w:color w:val="auto"/>
                <w:szCs w:val="21"/>
              </w:rPr>
            </w:pPr>
            <w:r>
              <w:rPr>
                <w:rFonts w:hint="eastAsia" w:ascii="黑体"/>
                <w:color w:val="auto"/>
                <w:szCs w:val="21"/>
              </w:rPr>
              <w:t>序号</w:t>
            </w:r>
          </w:p>
        </w:tc>
        <w:tc>
          <w:tcPr>
            <w:tcW w:w="3259" w:type="dxa"/>
            <w:noWrap w:val="0"/>
            <w:vAlign w:val="center"/>
          </w:tcPr>
          <w:p>
            <w:pPr>
              <w:jc w:val="center"/>
              <w:rPr>
                <w:rFonts w:hint="eastAsia" w:ascii="黑体"/>
                <w:color w:val="auto"/>
                <w:szCs w:val="21"/>
              </w:rPr>
            </w:pPr>
            <w:r>
              <w:rPr>
                <w:rFonts w:hint="eastAsia" w:ascii="黑体"/>
                <w:color w:val="auto"/>
                <w:szCs w:val="21"/>
              </w:rPr>
              <w:t>检定项目</w:t>
            </w:r>
          </w:p>
        </w:tc>
        <w:tc>
          <w:tcPr>
            <w:tcW w:w="4677" w:type="dxa"/>
            <w:noWrap w:val="0"/>
            <w:vAlign w:val="center"/>
          </w:tcPr>
          <w:p>
            <w:pPr>
              <w:tabs>
                <w:tab w:val="left" w:pos="0"/>
              </w:tabs>
              <w:ind w:right="178"/>
              <w:jc w:val="center"/>
              <w:rPr>
                <w:rFonts w:hint="eastAsia" w:ascii="黑体" w:hAnsi="宋体"/>
                <w:color w:val="auto"/>
                <w:szCs w:val="21"/>
              </w:rPr>
            </w:pPr>
            <w:r>
              <w:rPr>
                <w:rFonts w:hint="eastAsia" w:ascii="黑体" w:hAnsi="宋体"/>
                <w:color w:val="auto"/>
                <w:szCs w:val="21"/>
              </w:rPr>
              <w:t>检定结果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widowControl/>
              <w:jc w:val="center"/>
              <w:rPr>
                <w:rFonts w:hint="eastAsia" w:ascii="黑体"/>
                <w:color w:val="auto"/>
                <w:szCs w:val="21"/>
              </w:rPr>
            </w:pPr>
            <w:r>
              <w:rPr>
                <w:rFonts w:hint="eastAsia" w:ascii="黑体"/>
                <w:color w:val="auto"/>
                <w:szCs w:val="21"/>
              </w:rPr>
              <w:t>1</w:t>
            </w:r>
          </w:p>
        </w:tc>
        <w:tc>
          <w:tcPr>
            <w:tcW w:w="3259" w:type="dxa"/>
            <w:noWrap w:val="0"/>
            <w:vAlign w:val="center"/>
          </w:tcPr>
          <w:p>
            <w:pPr>
              <w:jc w:val="center"/>
              <w:rPr>
                <w:rFonts w:hint="eastAsia"/>
                <w:color w:val="auto"/>
                <w:szCs w:val="21"/>
              </w:rPr>
            </w:pPr>
            <w:r>
              <w:rPr>
                <w:rFonts w:hAnsi="宋体"/>
                <w:color w:val="auto"/>
                <w:szCs w:val="21"/>
              </w:rPr>
              <w:t>外观</w:t>
            </w:r>
            <w:r>
              <w:rPr>
                <w:rFonts w:hint="eastAsia" w:hAnsi="宋体"/>
                <w:color w:val="auto"/>
                <w:szCs w:val="21"/>
              </w:rPr>
              <w:t>与标识</w:t>
            </w:r>
          </w:p>
        </w:tc>
        <w:tc>
          <w:tcPr>
            <w:tcW w:w="4677" w:type="dxa"/>
            <w:noWrap w:val="0"/>
            <w:vAlign w:val="center"/>
          </w:tcPr>
          <w:p>
            <w:pPr>
              <w:tabs>
                <w:tab w:val="left" w:pos="0"/>
              </w:tabs>
              <w:ind w:right="178"/>
              <w:jc w:val="center"/>
              <w:rPr>
                <w:rFonts w:hint="eastAsia" w:ascii="黑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widowControl/>
              <w:jc w:val="center"/>
              <w:rPr>
                <w:rFonts w:hint="eastAsia" w:ascii="黑体"/>
                <w:color w:val="auto"/>
                <w:szCs w:val="21"/>
              </w:rPr>
            </w:pPr>
            <w:r>
              <w:rPr>
                <w:rFonts w:hint="eastAsia" w:ascii="黑体"/>
                <w:color w:val="auto"/>
                <w:szCs w:val="21"/>
              </w:rPr>
              <w:t>2</w:t>
            </w:r>
          </w:p>
        </w:tc>
        <w:tc>
          <w:tcPr>
            <w:tcW w:w="3259" w:type="dxa"/>
            <w:noWrap w:val="0"/>
            <w:vAlign w:val="center"/>
          </w:tcPr>
          <w:p>
            <w:pPr>
              <w:jc w:val="center"/>
              <w:rPr>
                <w:color w:val="auto"/>
                <w:szCs w:val="21"/>
              </w:rPr>
            </w:pPr>
            <w:r>
              <w:rPr>
                <w:rFonts w:hAnsi="宋体"/>
                <w:color w:val="auto"/>
                <w:szCs w:val="21"/>
              </w:rPr>
              <w:t>密封性</w:t>
            </w:r>
          </w:p>
        </w:tc>
        <w:tc>
          <w:tcPr>
            <w:tcW w:w="4677" w:type="dxa"/>
            <w:noWrap w:val="0"/>
            <w:vAlign w:val="center"/>
          </w:tcPr>
          <w:p>
            <w:pPr>
              <w:ind w:right="178"/>
              <w:jc w:val="center"/>
              <w:rPr>
                <w:rFonts w:hint="eastAsia" w:ascii="黑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widowControl/>
              <w:jc w:val="center"/>
              <w:rPr>
                <w:rFonts w:hint="eastAsia" w:ascii="黑体"/>
                <w:color w:val="auto"/>
                <w:szCs w:val="21"/>
              </w:rPr>
            </w:pPr>
            <w:r>
              <w:rPr>
                <w:rFonts w:hint="eastAsia" w:ascii="黑体"/>
                <w:color w:val="auto"/>
                <w:szCs w:val="21"/>
              </w:rPr>
              <w:t>3</w:t>
            </w:r>
          </w:p>
        </w:tc>
        <w:tc>
          <w:tcPr>
            <w:tcW w:w="3259" w:type="dxa"/>
            <w:noWrap w:val="0"/>
            <w:vAlign w:val="center"/>
          </w:tcPr>
          <w:p>
            <w:pPr>
              <w:jc w:val="center"/>
              <w:rPr>
                <w:rFonts w:hAnsi="宋体"/>
                <w:color w:val="auto"/>
                <w:szCs w:val="21"/>
              </w:rPr>
            </w:pPr>
            <w:r>
              <w:rPr>
                <w:rFonts w:hint="eastAsia" w:hAnsi="宋体"/>
                <w:color w:val="auto"/>
                <w:szCs w:val="21"/>
              </w:rPr>
              <w:t>压力损失</w:t>
            </w:r>
          </w:p>
        </w:tc>
        <w:tc>
          <w:tcPr>
            <w:tcW w:w="4677" w:type="dxa"/>
            <w:noWrap w:val="0"/>
            <w:vAlign w:val="center"/>
          </w:tcPr>
          <w:p>
            <w:pPr>
              <w:ind w:right="178"/>
              <w:jc w:val="center"/>
              <w:rPr>
                <w:rFonts w:hint="eastAsia" w:ascii="黑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widowControl/>
              <w:jc w:val="center"/>
              <w:rPr>
                <w:rFonts w:hint="eastAsia" w:ascii="黑体"/>
                <w:color w:val="auto"/>
                <w:szCs w:val="21"/>
              </w:rPr>
            </w:pPr>
            <w:r>
              <w:rPr>
                <w:rFonts w:hint="eastAsia" w:ascii="黑体"/>
                <w:color w:val="auto"/>
                <w:szCs w:val="21"/>
              </w:rPr>
              <w:t>4</w:t>
            </w:r>
          </w:p>
        </w:tc>
        <w:tc>
          <w:tcPr>
            <w:tcW w:w="3259" w:type="dxa"/>
            <w:noWrap w:val="0"/>
            <w:vAlign w:val="center"/>
          </w:tcPr>
          <w:p>
            <w:pPr>
              <w:rPr>
                <w:rFonts w:hint="eastAsia" w:hAnsi="宋体"/>
                <w:bCs/>
                <w:color w:val="auto"/>
                <w:szCs w:val="21"/>
              </w:rPr>
            </w:pPr>
            <w:r>
              <w:rPr>
                <w:rFonts w:hAnsi="宋体"/>
                <w:bCs/>
                <w:color w:val="auto"/>
                <w:szCs w:val="21"/>
              </w:rPr>
              <w:t>示值误差</w:t>
            </w:r>
            <w:r>
              <w:rPr>
                <w:rFonts w:hint="eastAsia" w:hAnsi="宋体"/>
                <w:bCs/>
                <w:color w:val="auto"/>
                <w:szCs w:val="21"/>
              </w:rPr>
              <w:t>（</w:t>
            </w:r>
            <w:r>
              <w:rPr>
                <w:rFonts w:hint="eastAsia" w:ascii="仿宋_GB2312" w:hAnsi="宋体" w:eastAsia="仿宋_GB2312"/>
                <w:color w:val="auto"/>
                <w:sz w:val="24"/>
              </w:rPr>
              <w:sym w:font="Wingdings 2" w:char="00A3"/>
            </w:r>
            <w:r>
              <w:rPr>
                <w:rFonts w:hint="eastAsia" w:hAnsi="宋体"/>
                <w:bCs/>
                <w:color w:val="auto"/>
                <w:szCs w:val="21"/>
              </w:rPr>
              <w:t>工况</w:t>
            </w:r>
            <w:r>
              <w:rPr>
                <w:rFonts w:hint="eastAsia" w:ascii="仿宋_GB2312" w:hAnsi="宋体" w:eastAsia="仿宋_GB2312"/>
                <w:color w:val="auto"/>
                <w:sz w:val="24"/>
              </w:rPr>
              <w:sym w:font="Wingdings 2" w:char="00A3"/>
            </w:r>
            <w:r>
              <w:rPr>
                <w:rFonts w:hint="eastAsia" w:hAnsi="宋体"/>
                <w:bCs/>
                <w:color w:val="auto"/>
                <w:szCs w:val="21"/>
              </w:rPr>
              <w:t>标况）</w:t>
            </w:r>
          </w:p>
        </w:tc>
        <w:tc>
          <w:tcPr>
            <w:tcW w:w="4677" w:type="dxa"/>
            <w:noWrap w:val="0"/>
            <w:vAlign w:val="center"/>
          </w:tcPr>
          <w:p>
            <w:pPr>
              <w:ind w:right="178"/>
              <w:jc w:val="center"/>
              <w:rPr>
                <w:rFonts w:hint="eastAsia" w:ascii="黑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widowControl/>
              <w:jc w:val="center"/>
              <w:rPr>
                <w:rFonts w:hint="eastAsia" w:ascii="黑体"/>
                <w:color w:val="auto"/>
                <w:szCs w:val="21"/>
              </w:rPr>
            </w:pPr>
            <w:r>
              <w:rPr>
                <w:rFonts w:hint="eastAsia" w:ascii="黑体"/>
                <w:color w:val="auto"/>
                <w:szCs w:val="21"/>
              </w:rPr>
              <w:t>5</w:t>
            </w:r>
          </w:p>
        </w:tc>
        <w:tc>
          <w:tcPr>
            <w:tcW w:w="3259" w:type="dxa"/>
            <w:noWrap w:val="0"/>
            <w:vAlign w:val="center"/>
          </w:tcPr>
          <w:p>
            <w:pPr>
              <w:jc w:val="center"/>
              <w:rPr>
                <w:rFonts w:hint="eastAsia" w:hAnsi="宋体"/>
                <w:bCs/>
                <w:color w:val="auto"/>
                <w:szCs w:val="21"/>
              </w:rPr>
            </w:pPr>
            <w:r>
              <w:rPr>
                <w:rFonts w:hint="eastAsia" w:hAnsi="宋体"/>
                <w:bCs/>
                <w:color w:val="auto"/>
                <w:szCs w:val="21"/>
              </w:rPr>
              <w:t>提示功能</w:t>
            </w:r>
          </w:p>
        </w:tc>
        <w:tc>
          <w:tcPr>
            <w:tcW w:w="4677" w:type="dxa"/>
            <w:noWrap w:val="0"/>
            <w:vAlign w:val="center"/>
          </w:tcPr>
          <w:p>
            <w:pPr>
              <w:ind w:right="178"/>
              <w:jc w:val="center"/>
              <w:rPr>
                <w:rFonts w:hint="eastAsia" w:ascii="黑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widowControl/>
              <w:jc w:val="center"/>
              <w:rPr>
                <w:rFonts w:hint="eastAsia" w:ascii="黑体"/>
                <w:color w:val="auto"/>
                <w:szCs w:val="21"/>
              </w:rPr>
            </w:pPr>
            <w:r>
              <w:rPr>
                <w:rFonts w:hint="eastAsia" w:ascii="黑体"/>
                <w:color w:val="auto"/>
                <w:szCs w:val="21"/>
              </w:rPr>
              <w:t>6</w:t>
            </w:r>
          </w:p>
        </w:tc>
        <w:tc>
          <w:tcPr>
            <w:tcW w:w="3259" w:type="dxa"/>
            <w:noWrap w:val="0"/>
            <w:vAlign w:val="center"/>
          </w:tcPr>
          <w:p>
            <w:pPr>
              <w:jc w:val="center"/>
              <w:rPr>
                <w:rFonts w:hint="eastAsia" w:ascii="黑体" w:hAnsi="宋体"/>
                <w:color w:val="auto"/>
                <w:szCs w:val="21"/>
              </w:rPr>
            </w:pPr>
            <w:r>
              <w:rPr>
                <w:rFonts w:hint="eastAsia" w:ascii="黑体"/>
                <w:color w:val="auto"/>
                <w:szCs w:val="21"/>
              </w:rPr>
              <w:t>附加功能</w:t>
            </w:r>
          </w:p>
        </w:tc>
        <w:tc>
          <w:tcPr>
            <w:tcW w:w="4677" w:type="dxa"/>
            <w:noWrap w:val="0"/>
            <w:vAlign w:val="center"/>
          </w:tcPr>
          <w:p>
            <w:pPr>
              <w:ind w:right="178"/>
              <w:jc w:val="center"/>
              <w:rPr>
                <w:rFonts w:hint="eastAsia" w:ascii="黑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7" w:hRule="atLeast"/>
        </w:trPr>
        <w:tc>
          <w:tcPr>
            <w:tcW w:w="974" w:type="dxa"/>
            <w:noWrap w:val="0"/>
            <w:vAlign w:val="center"/>
          </w:tcPr>
          <w:p>
            <w:pPr>
              <w:widowControl/>
              <w:jc w:val="center"/>
              <w:rPr>
                <w:rFonts w:hint="eastAsia" w:ascii="黑体"/>
                <w:color w:val="auto"/>
                <w:szCs w:val="21"/>
              </w:rPr>
            </w:pPr>
            <w:r>
              <w:rPr>
                <w:rFonts w:hint="eastAsia" w:ascii="黑体"/>
                <w:color w:val="auto"/>
                <w:szCs w:val="21"/>
              </w:rPr>
              <w:t>7</w:t>
            </w:r>
          </w:p>
        </w:tc>
        <w:tc>
          <w:tcPr>
            <w:tcW w:w="3259" w:type="dxa"/>
            <w:noWrap w:val="0"/>
            <w:vAlign w:val="center"/>
          </w:tcPr>
          <w:p>
            <w:pPr>
              <w:jc w:val="center"/>
              <w:rPr>
                <w:rFonts w:hint="eastAsia" w:ascii="黑体"/>
                <w:color w:val="auto"/>
                <w:szCs w:val="21"/>
              </w:rPr>
            </w:pPr>
            <w:r>
              <w:rPr>
                <w:rFonts w:hint="eastAsia" w:ascii="黑体"/>
                <w:color w:val="auto"/>
                <w:szCs w:val="21"/>
              </w:rPr>
              <w:t>检定结论</w:t>
            </w:r>
          </w:p>
        </w:tc>
        <w:tc>
          <w:tcPr>
            <w:tcW w:w="4677" w:type="dxa"/>
            <w:noWrap w:val="0"/>
            <w:vAlign w:val="center"/>
          </w:tcPr>
          <w:p>
            <w:pPr>
              <w:ind w:right="178"/>
              <w:jc w:val="center"/>
              <w:rPr>
                <w:rFonts w:hint="eastAsia" w:ascii="黑体" w:hAnsi="宋体"/>
                <w:color w:val="auto"/>
                <w:szCs w:val="21"/>
              </w:rPr>
            </w:pPr>
          </w:p>
        </w:tc>
      </w:tr>
    </w:tbl>
    <w:p>
      <w:pPr>
        <w:rPr>
          <w:rFonts w:hint="eastAsia" w:ascii="宋体"/>
          <w:color w:val="auto"/>
          <w:sz w:val="24"/>
        </w:rPr>
      </w:pPr>
      <w:r>
        <w:rPr>
          <w:rFonts w:hint="eastAsia" w:ascii="宋体"/>
          <w:color w:val="auto"/>
          <w:sz w:val="24"/>
        </w:rPr>
        <w:t xml:space="preserve">                                   </w:t>
      </w:r>
    </w:p>
    <w:p>
      <w:pPr>
        <w:rPr>
          <w:rFonts w:hint="eastAsia" w:ascii="宋体" w:hAnsi="宋体"/>
          <w:color w:val="auto"/>
          <w:sz w:val="24"/>
        </w:rPr>
      </w:pPr>
      <w:r>
        <w:rPr>
          <w:rFonts w:hint="eastAsia" w:ascii="黑体" w:hAnsi="宋体"/>
          <w:color w:val="auto"/>
          <w:sz w:val="24"/>
        </w:rPr>
        <w:t>C.2</w:t>
      </w:r>
      <w:r>
        <w:rPr>
          <w:rFonts w:hint="eastAsia" w:ascii="宋体" w:hAnsi="宋体"/>
          <w:color w:val="auto"/>
          <w:sz w:val="24"/>
        </w:rPr>
        <w:t xml:space="preserve"> 检定结果通知书内页信息格式参照以上内容，并给出不合格项，检定结论为不合格。</w:t>
      </w:r>
    </w:p>
    <w:p>
      <w:pPr>
        <w:rPr>
          <w:rFonts w:hAnsi="宋体"/>
          <w:dstrike/>
          <w:color w:val="auto"/>
          <w:sz w:val="24"/>
        </w:rPr>
      </w:pPr>
    </w:p>
    <w:p>
      <w:pPr>
        <w:rPr>
          <w:rFonts w:hint="eastAsia" w:hAnsi="宋体"/>
          <w:dstrike/>
          <w:color w:val="auto"/>
          <w:sz w:val="24"/>
        </w:rPr>
      </w:pPr>
      <w:r>
        <w:rPr>
          <w:rFonts w:hint="eastAsia" w:hAnsi="宋体"/>
          <w:color w:val="auto"/>
          <w:sz w:val="24"/>
        </w:rPr>
        <mc:AlternateContent>
          <mc:Choice Requires="wps">
            <w:drawing>
              <wp:anchor distT="0" distB="0" distL="114300" distR="114300" simplePos="0" relativeHeight="251659264" behindDoc="0" locked="0" layoutInCell="1" allowOverlap="1">
                <wp:simplePos x="0" y="0"/>
                <wp:positionH relativeFrom="column">
                  <wp:posOffset>4024630</wp:posOffset>
                </wp:positionH>
                <wp:positionV relativeFrom="paragraph">
                  <wp:posOffset>198120</wp:posOffset>
                </wp:positionV>
                <wp:extent cx="1727835" cy="0"/>
                <wp:effectExtent l="0" t="0" r="0" b="0"/>
                <wp:wrapNone/>
                <wp:docPr id="1" name="Line 14"/>
                <wp:cNvGraphicFramePr/>
                <a:graphic xmlns:a="http://schemas.openxmlformats.org/drawingml/2006/main">
                  <a:graphicData uri="http://schemas.microsoft.com/office/word/2010/wordprocessingShape">
                    <wps:wsp>
                      <wps:cNvCnPr/>
                      <wps:spPr>
                        <a:xfrm>
                          <a:off x="0" y="0"/>
                          <a:ext cx="1727835"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Line 14" o:spid="_x0000_s1026" o:spt="20" style="position:absolute;left:0pt;margin-left:316.9pt;margin-top:15.6pt;height:0pt;width:136.05pt;z-index:251659264;mso-width-relative:page;mso-height-relative:page;" filled="f" stroked="t" coordsize="21600,21600" o:gfxdata="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k+dQedgAAAAJAQAADwAAAAAAAAABACAAAAAiAAAAZHJzL2Rvd25yZXYu&#10;eG1sUEsBAhQAFAAAAAgAh07iQH+ZFoXCAQAAjQMAAA4AAAAAAAAAAQAgAAAAJwEAAGRycy9lMm9E&#10;b2MueG1sUEsFBgAAAAAGAAYAWQEAAFsFAAAAAA==&#10;">
                <v:fill on="f" focussize="0,0"/>
                <v:stroke weight="1pt" color="#000000" joinstyle="round"/>
                <v:imagedata o:title=""/>
                <o:lock v:ext="edit" aspectratio="f"/>
              </v:line>
            </w:pict>
          </mc:Fallback>
        </mc:AlternateContent>
      </w:r>
    </w:p>
    <w:sectPr>
      <w:pgSz w:w="11906" w:h="16838"/>
      <w:pgMar w:top="1440" w:right="1418" w:bottom="1440"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方正小标宋简体">
    <w:altName w:val="宋体-方正超大字符集"/>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Bold">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Arial Black">
    <w:panose1 w:val="020B0A04020102020204"/>
    <w:charset w:val="00"/>
    <w:family w:val="swiss"/>
    <w:pitch w:val="default"/>
    <w:sig w:usb0="00000287" w:usb1="00000000" w:usb2="00000000" w:usb3="00000000" w:csb0="2000009F" w:csb1="DFD70000"/>
  </w:font>
  <w:font w:name="Wingdings 2">
    <w:panose1 w:val="05020102010507070707"/>
    <w:charset w:val="02"/>
    <w:family w:val="roman"/>
    <w:pitch w:val="default"/>
    <w:sig w:usb0="00000000" w:usb1="00000000" w:usb2="00000000" w:usb3="00000000" w:csb0="80000000"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pPr>
    <w:r>
      <w:fldChar w:fldCharType="begin"/>
    </w:r>
    <w:r>
      <w:instrText xml:space="preserve">PAGE   \* MERGEFORMAT</w:instrText>
    </w:r>
    <w:r>
      <w:fldChar w:fldCharType="separate"/>
    </w:r>
    <w:r>
      <w:rPr>
        <w:lang w:val="zh-CN"/>
      </w:rPr>
      <w:t>17</w:t>
    </w:r>
    <w:r>
      <w:fldChar w:fldCharType="end"/>
    </w:r>
  </w:p>
  <w:p>
    <w:pPr>
      <w:pStyle w:val="11"/>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2"/>
      <w:rPr>
        <w:rStyle w:val="20"/>
      </w:rPr>
    </w:pPr>
    <w:r>
      <w:fldChar w:fldCharType="begin"/>
    </w:r>
    <w:r>
      <w:rPr>
        <w:rStyle w:val="20"/>
      </w:rPr>
      <w:instrText xml:space="preserve">PAGE  </w:instrText>
    </w:r>
    <w:r>
      <w:fldChar w:fldCharType="separate"/>
    </w:r>
    <w:r>
      <w:rPr>
        <w:rStyle w:val="20"/>
      </w:rPr>
      <w:t>16</w:t>
    </w:r>
    <w:r>
      <w:fldChar w:fldCharType="end"/>
    </w:r>
  </w:p>
  <w:p>
    <w:pPr>
      <w:pStyle w:val="11"/>
      <w:ind w:right="360" w:firstLine="360"/>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right"/>
    </w:pPr>
    <w:r>
      <w:fldChar w:fldCharType="begin"/>
    </w:r>
    <w:r>
      <w:instrText xml:space="preserve"> PAGE   \* MERGEFORMAT </w:instrText>
    </w:r>
    <w:r>
      <w:fldChar w:fldCharType="separate"/>
    </w:r>
    <w:r>
      <w:rPr>
        <w:lang w:val="zh-CN"/>
      </w:rPr>
      <w:t>1</w:t>
    </w:r>
    <w:r>
      <w:rPr>
        <w:lang w:val="zh-CN"/>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sz w:val="21"/>
        <w:szCs w:val="21"/>
      </w:rPr>
    </w:pPr>
    <w:r>
      <w:rPr>
        <w:rFonts w:hint="eastAsia" w:ascii="宋体" w:hAnsi="宋体"/>
        <w:b/>
        <w:sz w:val="21"/>
        <w:szCs w:val="21"/>
        <w:lang w:val="nl-NL"/>
      </w:rPr>
      <w:t>JJG（</w:t>
    </w:r>
    <w:r>
      <w:rPr>
        <w:rFonts w:hint="eastAsia" w:ascii="宋体" w:hAnsi="宋体"/>
        <w:b/>
        <w:sz w:val="21"/>
        <w:szCs w:val="21"/>
        <w:lang w:val="nl-NL" w:eastAsia="zh-CN"/>
      </w:rPr>
      <w:t>湘</w:t>
    </w:r>
    <w:r>
      <w:rPr>
        <w:rFonts w:hint="eastAsia" w:ascii="宋体" w:hAnsi="宋体"/>
        <w:b/>
        <w:sz w:val="21"/>
        <w:szCs w:val="21"/>
        <w:lang w:val="nl-NL"/>
      </w:rPr>
      <w:t>）×××</w:t>
    </w:r>
    <w:r>
      <w:rPr>
        <w:rFonts w:hint="eastAsia" w:ascii="宋体" w:hAnsi="宋体"/>
        <w:sz w:val="21"/>
        <w:szCs w:val="21"/>
        <w:lang w:val="pl-PL"/>
      </w:rPr>
      <w:t>－</w:t>
    </w:r>
    <w:r>
      <w:rPr>
        <w:rFonts w:hint="eastAsia" w:ascii="宋体" w:hAnsi="宋体"/>
        <w:b/>
        <w:sz w:val="21"/>
        <w:szCs w:val="21"/>
        <w:lang w:val="nl-NL"/>
      </w:rPr>
      <w:t>201X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hint="eastAsia" w:ascii="方正小标宋简体" w:eastAsia="方正小标宋简体"/>
        <w:sz w:val="21"/>
        <w:szCs w:val="21"/>
      </w:rPr>
      <w:t>JJG(沪)××-2014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hint="eastAsia" w:ascii="黑体" w:hAnsi="黑体" w:eastAsia="黑体"/>
        <w:b/>
        <w:sz w:val="28"/>
        <w:lang w:val="nl-NL"/>
      </w:rPr>
      <w:t>JJG（</w:t>
    </w:r>
    <w:r>
      <w:rPr>
        <w:rFonts w:hint="eastAsia" w:ascii="黑体" w:hAnsi="黑体" w:eastAsia="黑体"/>
        <w:b/>
        <w:sz w:val="28"/>
        <w:lang w:val="nl-NL" w:eastAsia="zh-CN"/>
      </w:rPr>
      <w:t>湘</w:t>
    </w:r>
    <w:r>
      <w:rPr>
        <w:rFonts w:hint="eastAsia" w:ascii="黑体" w:hAnsi="黑体" w:eastAsia="黑体"/>
        <w:b/>
        <w:sz w:val="28"/>
        <w:lang w:val="nl-NL"/>
      </w:rPr>
      <w:t>）×××</w:t>
    </w:r>
    <w:r>
      <w:rPr>
        <w:rFonts w:hint="eastAsia" w:ascii="黑体" w:hAnsi="黑体" w:eastAsia="黑体"/>
        <w:sz w:val="28"/>
        <w:lang w:val="pl-PL"/>
      </w:rPr>
      <w:t>－</w:t>
    </w:r>
    <w:r>
      <w:rPr>
        <w:rFonts w:hint="eastAsia" w:ascii="黑体" w:hAnsi="黑体" w:eastAsia="黑体"/>
        <w:b/>
        <w:sz w:val="28"/>
        <w:lang w:val="nl-NL"/>
      </w:rPr>
      <w:t>201X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E3B"/>
    <w:multiLevelType w:val="multilevel"/>
    <w:tmpl w:val="03661E3B"/>
    <w:lvl w:ilvl="0" w:tentative="0">
      <w:start w:val="1"/>
      <w:numFmt w:val="decimal"/>
      <w:suff w:val="space"/>
      <w:lvlText w:val="7.1.%1"/>
      <w:lvlJc w:val="left"/>
      <w:pPr>
        <w:ind w:left="0" w:firstLine="0"/>
      </w:pPr>
      <w:rPr>
        <w:rFonts w:hint="default" w:ascii="Times New Roman" w:hAnsi="Times New Roman" w:eastAsia="宋体" w:cs="Times New Roman"/>
        <w:color w:val="auto"/>
        <w:sz w:val="24"/>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
    <w:nsid w:val="04777F07"/>
    <w:multiLevelType w:val="multilevel"/>
    <w:tmpl w:val="04777F07"/>
    <w:lvl w:ilvl="0" w:tentative="0">
      <w:start w:val="1"/>
      <w:numFmt w:val="decimal"/>
      <w:lvlText w:val="7.2.%1"/>
      <w:lvlJc w:val="left"/>
      <w:pPr>
        <w:tabs>
          <w:tab w:val="left" w:pos="720"/>
        </w:tabs>
        <w:ind w:left="0" w:firstLine="0"/>
      </w:pPr>
      <w:rPr>
        <w:rFonts w:hint="eastAsia" w:ascii="宋体" w:hAnsi="宋体" w:eastAsia="宋体"/>
        <w:sz w:val="24"/>
      </w:rPr>
    </w:lvl>
    <w:lvl w:ilvl="1" w:tentative="0">
      <w:start w:val="1"/>
      <w:numFmt w:val="decimal"/>
      <w:suff w:val="space"/>
      <w:lvlText w:val="7.3.%2"/>
      <w:lvlJc w:val="left"/>
      <w:pPr>
        <w:ind w:left="0" w:firstLine="0"/>
      </w:pPr>
      <w:rPr>
        <w:rFonts w:hint="default" w:ascii="Times New Roman" w:hAnsi="Times New Roman" w:eastAsia="宋体" w:cs="Times New Roman"/>
        <w:sz w:val="24"/>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
    <w:nsid w:val="14D31FB9"/>
    <w:multiLevelType w:val="multilevel"/>
    <w:tmpl w:val="14D31FB9"/>
    <w:lvl w:ilvl="0" w:tentative="0">
      <w:start w:val="1"/>
      <w:numFmt w:val="lowerLetter"/>
      <w:lvlText w:val="%1)"/>
      <w:lvlJc w:val="left"/>
      <w:pPr>
        <w:tabs>
          <w:tab w:val="left" w:pos="1562"/>
        </w:tabs>
        <w:ind w:left="1562" w:hanging="420"/>
      </w:pPr>
    </w:lvl>
    <w:lvl w:ilvl="1" w:tentative="0">
      <w:start w:val="1"/>
      <w:numFmt w:val="lowerLetter"/>
      <w:lvlText w:val="%2)"/>
      <w:lvlJc w:val="left"/>
      <w:pPr>
        <w:tabs>
          <w:tab w:val="left" w:pos="1202"/>
        </w:tabs>
        <w:ind w:left="1202" w:hanging="420"/>
      </w:pPr>
    </w:lvl>
    <w:lvl w:ilvl="2" w:tentative="0">
      <w:start w:val="1"/>
      <w:numFmt w:val="lowerRoman"/>
      <w:lvlText w:val="%3."/>
      <w:lvlJc w:val="right"/>
      <w:pPr>
        <w:tabs>
          <w:tab w:val="left" w:pos="1622"/>
        </w:tabs>
        <w:ind w:left="1622" w:hanging="420"/>
      </w:pPr>
    </w:lvl>
    <w:lvl w:ilvl="3" w:tentative="0">
      <w:start w:val="1"/>
      <w:numFmt w:val="decimal"/>
      <w:lvlText w:val="%4."/>
      <w:lvlJc w:val="left"/>
      <w:pPr>
        <w:tabs>
          <w:tab w:val="left" w:pos="2042"/>
        </w:tabs>
        <w:ind w:left="2042" w:hanging="420"/>
      </w:pPr>
    </w:lvl>
    <w:lvl w:ilvl="4" w:tentative="0">
      <w:start w:val="1"/>
      <w:numFmt w:val="lowerLetter"/>
      <w:lvlText w:val="%5)"/>
      <w:lvlJc w:val="left"/>
      <w:pPr>
        <w:tabs>
          <w:tab w:val="left" w:pos="2462"/>
        </w:tabs>
        <w:ind w:left="2462" w:hanging="420"/>
      </w:pPr>
    </w:lvl>
    <w:lvl w:ilvl="5" w:tentative="0">
      <w:start w:val="1"/>
      <w:numFmt w:val="lowerRoman"/>
      <w:lvlText w:val="%6."/>
      <w:lvlJc w:val="right"/>
      <w:pPr>
        <w:tabs>
          <w:tab w:val="left" w:pos="2882"/>
        </w:tabs>
        <w:ind w:left="2882" w:hanging="420"/>
      </w:pPr>
    </w:lvl>
    <w:lvl w:ilvl="6" w:tentative="0">
      <w:start w:val="1"/>
      <w:numFmt w:val="decimal"/>
      <w:lvlText w:val="%7."/>
      <w:lvlJc w:val="left"/>
      <w:pPr>
        <w:tabs>
          <w:tab w:val="left" w:pos="3302"/>
        </w:tabs>
        <w:ind w:left="3302" w:hanging="420"/>
      </w:pPr>
    </w:lvl>
    <w:lvl w:ilvl="7" w:tentative="0">
      <w:start w:val="1"/>
      <w:numFmt w:val="lowerLetter"/>
      <w:lvlText w:val="%8)"/>
      <w:lvlJc w:val="left"/>
      <w:pPr>
        <w:tabs>
          <w:tab w:val="left" w:pos="3722"/>
        </w:tabs>
        <w:ind w:left="3722" w:hanging="420"/>
      </w:pPr>
    </w:lvl>
    <w:lvl w:ilvl="8" w:tentative="0">
      <w:start w:val="1"/>
      <w:numFmt w:val="lowerRoman"/>
      <w:lvlText w:val="%9."/>
      <w:lvlJc w:val="right"/>
      <w:pPr>
        <w:tabs>
          <w:tab w:val="left" w:pos="4142"/>
        </w:tabs>
        <w:ind w:left="4142" w:hanging="420"/>
      </w:pPr>
    </w:lvl>
  </w:abstractNum>
  <w:abstractNum w:abstractNumId="3">
    <w:nsid w:val="17803497"/>
    <w:multiLevelType w:val="multilevel"/>
    <w:tmpl w:val="17803497"/>
    <w:lvl w:ilvl="0" w:tentative="0">
      <w:start w:val="1"/>
      <w:numFmt w:val="decimal"/>
      <w:lvlText w:val="6.%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rPr>
        <w:rFonts w:ascii="Times New Roman" w:hAnsi="宋体" w:eastAsia="宋体"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8"/>
      <w:suff w:val="nothing"/>
      <w:lvlText w:val="3.%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44C50F90"/>
    <w:multiLevelType w:val="multilevel"/>
    <w:tmpl w:val="44C50F90"/>
    <w:lvl w:ilvl="0" w:tentative="0">
      <w:start w:val="1"/>
      <w:numFmt w:val="lowerLetter"/>
      <w:pStyle w:val="31"/>
      <w:lvlText w:val="%1)"/>
      <w:lvlJc w:val="left"/>
      <w:pPr>
        <w:tabs>
          <w:tab w:val="left" w:pos="961"/>
        </w:tabs>
        <w:ind w:left="961" w:hanging="419"/>
      </w:pPr>
      <w:rPr>
        <w:rFonts w:hint="default" w:ascii="Times New Roman" w:hAnsi="Times New Roman" w:eastAsia="宋体" w:cs="Times New Roman"/>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szCs w:val="18"/>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default"/>
      </w:rPr>
    </w:lvl>
    <w:lvl w:ilvl="4" w:tentative="0">
      <w:start w:val="1"/>
      <w:numFmt w:val="lowerLetter"/>
      <w:lvlText w:val="%5)"/>
      <w:lvlJc w:val="left"/>
      <w:pPr>
        <w:tabs>
          <w:tab w:val="left" w:pos="2517"/>
        </w:tabs>
        <w:ind w:left="2517" w:hanging="419"/>
      </w:pPr>
      <w:rPr>
        <w:rFonts w:hint="default"/>
      </w:rPr>
    </w:lvl>
    <w:lvl w:ilvl="5" w:tentative="0">
      <w:start w:val="1"/>
      <w:numFmt w:val="lowerRoman"/>
      <w:lvlText w:val="%6."/>
      <w:lvlJc w:val="right"/>
      <w:pPr>
        <w:tabs>
          <w:tab w:val="left" w:pos="2942"/>
        </w:tabs>
        <w:ind w:left="2937" w:hanging="420"/>
      </w:pPr>
      <w:rPr>
        <w:rFonts w:hint="default"/>
      </w:rPr>
    </w:lvl>
    <w:lvl w:ilvl="6" w:tentative="0">
      <w:start w:val="1"/>
      <w:numFmt w:val="decimal"/>
      <w:lvlText w:val="%7."/>
      <w:lvlJc w:val="left"/>
      <w:pPr>
        <w:tabs>
          <w:tab w:val="left" w:pos="3362"/>
        </w:tabs>
        <w:ind w:left="3356" w:hanging="414"/>
      </w:pPr>
      <w:rPr>
        <w:rFonts w:hint="default"/>
      </w:rPr>
    </w:lvl>
    <w:lvl w:ilvl="7" w:tentative="0">
      <w:start w:val="1"/>
      <w:numFmt w:val="lowerLetter"/>
      <w:lvlText w:val="%8)"/>
      <w:lvlJc w:val="left"/>
      <w:pPr>
        <w:tabs>
          <w:tab w:val="left" w:pos="3781"/>
        </w:tabs>
        <w:ind w:left="3776" w:hanging="414"/>
      </w:pPr>
      <w:rPr>
        <w:rFonts w:hint="default"/>
      </w:rPr>
    </w:lvl>
    <w:lvl w:ilvl="8" w:tentative="0">
      <w:start w:val="1"/>
      <w:numFmt w:val="lowerRoman"/>
      <w:lvlText w:val="%9."/>
      <w:lvlJc w:val="right"/>
      <w:pPr>
        <w:tabs>
          <w:tab w:val="left" w:pos="4201"/>
        </w:tabs>
        <w:ind w:left="4201" w:hanging="420"/>
      </w:pPr>
      <w:rPr>
        <w:rFonts w:hint="default"/>
      </w:rPr>
    </w:lvl>
  </w:abstractNum>
  <w:abstractNum w:abstractNumId="6">
    <w:nsid w:val="5CC831F3"/>
    <w:multiLevelType w:val="multilevel"/>
    <w:tmpl w:val="5CC831F3"/>
    <w:lvl w:ilvl="0" w:tentative="0">
      <w:start w:val="1"/>
      <w:numFmt w:val="decimal"/>
      <w:suff w:val="space"/>
      <w:lvlText w:val="6.%1"/>
      <w:lvlJc w:val="left"/>
      <w:pPr>
        <w:ind w:left="420" w:hanging="420"/>
      </w:pPr>
      <w:rPr>
        <w:rFonts w:hint="default" w:hAnsi="Times New Roman" w:cs="Times New Roman"/>
        <w:bCs w:val="0"/>
        <w:i w:val="0"/>
        <w:iCs w:val="0"/>
        <w:caps w:val="0"/>
        <w:strike w:val="0"/>
        <w:dstrike w:val="0"/>
        <w:outline w:val="0"/>
        <w:shadow w:val="0"/>
        <w:emboss w:val="0"/>
        <w:imprint w:val="0"/>
        <w:vanish w:val="0"/>
        <w:spacing w:val="0"/>
        <w:kern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6FE569DF"/>
    <w:multiLevelType w:val="multilevel"/>
    <w:tmpl w:val="6FE569DF"/>
    <w:lvl w:ilvl="0" w:tentative="0">
      <w:start w:val="1"/>
      <w:numFmt w:val="decimal"/>
      <w:suff w:val="space"/>
      <w:lvlText w:val="7.%1"/>
      <w:lvlJc w:val="left"/>
      <w:pPr>
        <w:ind w:left="420" w:hanging="420"/>
      </w:pPr>
      <w:rPr>
        <w:rFonts w:hint="default" w:hAnsi="Times New Roman" w:cs="Times New Roman"/>
        <w:bCs w:val="0"/>
        <w:i w:val="0"/>
        <w:iCs w:val="0"/>
        <w:caps w:val="0"/>
        <w:strike w:val="0"/>
        <w:dstrike w:val="0"/>
        <w:outline w:val="0"/>
        <w:shadow w:val="0"/>
        <w:emboss w:val="0"/>
        <w:imprint w:val="0"/>
        <w:vanish w:val="0"/>
        <w:spacing w:val="0"/>
        <w:kern w:val="0"/>
        <w:position w:val="0"/>
        <w:u w:val="none"/>
        <w:vertAlign w:val="baseline"/>
      </w:rPr>
    </w:lvl>
    <w:lvl w:ilvl="1" w:tentative="0">
      <w:start w:val="1"/>
      <w:numFmt w:val="lowerLetter"/>
      <w:lvlText w:val="%2)"/>
      <w:lvlJc w:val="left"/>
      <w:pPr>
        <w:ind w:left="840" w:hanging="420"/>
      </w:pPr>
      <w:rPr>
        <w:rFonts w:hint="eastAsia"/>
      </w:rPr>
    </w:lvl>
    <w:lvl w:ilvl="2" w:tentative="0">
      <w:start w:val="1"/>
      <w:numFmt w:val="lowerRoman"/>
      <w:pStyle w:val="32"/>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4"/>
  </w:num>
  <w:num w:numId="2">
    <w:abstractNumId w:val="5"/>
  </w:num>
  <w:num w:numId="3">
    <w:abstractNumId w:val="7"/>
  </w:num>
  <w:num w:numId="4">
    <w:abstractNumId w:val="6"/>
  </w:num>
  <w:num w:numId="5">
    <w:abstractNumId w:val="3"/>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914105"/>
    <w:rsid w:val="00002223"/>
    <w:rsid w:val="0000419C"/>
    <w:rsid w:val="00015A9B"/>
    <w:rsid w:val="0002534F"/>
    <w:rsid w:val="00025D93"/>
    <w:rsid w:val="00026BB1"/>
    <w:rsid w:val="0003246D"/>
    <w:rsid w:val="00051056"/>
    <w:rsid w:val="00055053"/>
    <w:rsid w:val="0005581F"/>
    <w:rsid w:val="00066938"/>
    <w:rsid w:val="00071A47"/>
    <w:rsid w:val="0007408D"/>
    <w:rsid w:val="000740B7"/>
    <w:rsid w:val="0007570D"/>
    <w:rsid w:val="000777EF"/>
    <w:rsid w:val="000844D9"/>
    <w:rsid w:val="00093B07"/>
    <w:rsid w:val="00096F91"/>
    <w:rsid w:val="000970A6"/>
    <w:rsid w:val="00097785"/>
    <w:rsid w:val="000B12C7"/>
    <w:rsid w:val="000B1AFC"/>
    <w:rsid w:val="000B1D3A"/>
    <w:rsid w:val="000B1FB0"/>
    <w:rsid w:val="000D6A64"/>
    <w:rsid w:val="000E311A"/>
    <w:rsid w:val="000E553B"/>
    <w:rsid w:val="000E7980"/>
    <w:rsid w:val="000F52F5"/>
    <w:rsid w:val="00103505"/>
    <w:rsid w:val="001077BC"/>
    <w:rsid w:val="001159E8"/>
    <w:rsid w:val="001165D9"/>
    <w:rsid w:val="00125A64"/>
    <w:rsid w:val="00125C4D"/>
    <w:rsid w:val="00133600"/>
    <w:rsid w:val="00133C46"/>
    <w:rsid w:val="00133D96"/>
    <w:rsid w:val="00141A6F"/>
    <w:rsid w:val="00147FF9"/>
    <w:rsid w:val="00156DD4"/>
    <w:rsid w:val="00161F10"/>
    <w:rsid w:val="00163598"/>
    <w:rsid w:val="001722E9"/>
    <w:rsid w:val="001852E9"/>
    <w:rsid w:val="00187B1E"/>
    <w:rsid w:val="00190129"/>
    <w:rsid w:val="001A3870"/>
    <w:rsid w:val="001A3CF3"/>
    <w:rsid w:val="001A5669"/>
    <w:rsid w:val="001A65DA"/>
    <w:rsid w:val="001B7A24"/>
    <w:rsid w:val="001C0E42"/>
    <w:rsid w:val="001D180D"/>
    <w:rsid w:val="001D2CA4"/>
    <w:rsid w:val="001D5AC9"/>
    <w:rsid w:val="001D7F06"/>
    <w:rsid w:val="001F3A73"/>
    <w:rsid w:val="001F6B2F"/>
    <w:rsid w:val="002167AE"/>
    <w:rsid w:val="0023237D"/>
    <w:rsid w:val="002346CF"/>
    <w:rsid w:val="0023483D"/>
    <w:rsid w:val="0024152D"/>
    <w:rsid w:val="002571E2"/>
    <w:rsid w:val="00265613"/>
    <w:rsid w:val="00266672"/>
    <w:rsid w:val="00266DE8"/>
    <w:rsid w:val="00271587"/>
    <w:rsid w:val="00272B5D"/>
    <w:rsid w:val="00281F0E"/>
    <w:rsid w:val="002834D0"/>
    <w:rsid w:val="002849AB"/>
    <w:rsid w:val="00293C4A"/>
    <w:rsid w:val="002968BA"/>
    <w:rsid w:val="002A0720"/>
    <w:rsid w:val="002A2136"/>
    <w:rsid w:val="002A3049"/>
    <w:rsid w:val="002A6DED"/>
    <w:rsid w:val="002B1CD0"/>
    <w:rsid w:val="002B303A"/>
    <w:rsid w:val="002B5CBD"/>
    <w:rsid w:val="002C1A9D"/>
    <w:rsid w:val="002D3B4F"/>
    <w:rsid w:val="003010D7"/>
    <w:rsid w:val="00311A85"/>
    <w:rsid w:val="00313B30"/>
    <w:rsid w:val="00316DDD"/>
    <w:rsid w:val="0031775F"/>
    <w:rsid w:val="0032270A"/>
    <w:rsid w:val="003458FA"/>
    <w:rsid w:val="0035308F"/>
    <w:rsid w:val="00354C28"/>
    <w:rsid w:val="003555C7"/>
    <w:rsid w:val="00355B07"/>
    <w:rsid w:val="003579D5"/>
    <w:rsid w:val="00362660"/>
    <w:rsid w:val="00363A85"/>
    <w:rsid w:val="00372929"/>
    <w:rsid w:val="00380236"/>
    <w:rsid w:val="003843C4"/>
    <w:rsid w:val="00384A01"/>
    <w:rsid w:val="003A5D72"/>
    <w:rsid w:val="003A6976"/>
    <w:rsid w:val="003B0290"/>
    <w:rsid w:val="003B0EB5"/>
    <w:rsid w:val="003B6102"/>
    <w:rsid w:val="003C0865"/>
    <w:rsid w:val="003C38B8"/>
    <w:rsid w:val="003D20F1"/>
    <w:rsid w:val="003D58C1"/>
    <w:rsid w:val="003E1650"/>
    <w:rsid w:val="003E2EAE"/>
    <w:rsid w:val="003E5C92"/>
    <w:rsid w:val="003F2F6E"/>
    <w:rsid w:val="003F4308"/>
    <w:rsid w:val="0040138C"/>
    <w:rsid w:val="004033E8"/>
    <w:rsid w:val="00404CB6"/>
    <w:rsid w:val="004141EE"/>
    <w:rsid w:val="00415802"/>
    <w:rsid w:val="004201DC"/>
    <w:rsid w:val="0043479C"/>
    <w:rsid w:val="00435162"/>
    <w:rsid w:val="00450A67"/>
    <w:rsid w:val="0045491A"/>
    <w:rsid w:val="004574B3"/>
    <w:rsid w:val="00457612"/>
    <w:rsid w:val="004660C3"/>
    <w:rsid w:val="00470261"/>
    <w:rsid w:val="0047319C"/>
    <w:rsid w:val="00481BA8"/>
    <w:rsid w:val="00482075"/>
    <w:rsid w:val="0048221B"/>
    <w:rsid w:val="00484E49"/>
    <w:rsid w:val="00486D8A"/>
    <w:rsid w:val="0049220A"/>
    <w:rsid w:val="004B5ACF"/>
    <w:rsid w:val="004E0C0D"/>
    <w:rsid w:val="004E5E3E"/>
    <w:rsid w:val="0050049F"/>
    <w:rsid w:val="005059E8"/>
    <w:rsid w:val="00515571"/>
    <w:rsid w:val="0051594F"/>
    <w:rsid w:val="00517056"/>
    <w:rsid w:val="00517B65"/>
    <w:rsid w:val="00521D8C"/>
    <w:rsid w:val="0052464A"/>
    <w:rsid w:val="00526B19"/>
    <w:rsid w:val="00535EB8"/>
    <w:rsid w:val="00536B1A"/>
    <w:rsid w:val="0053785C"/>
    <w:rsid w:val="00541EFD"/>
    <w:rsid w:val="005429C9"/>
    <w:rsid w:val="0055057D"/>
    <w:rsid w:val="00550585"/>
    <w:rsid w:val="00561EDA"/>
    <w:rsid w:val="00562115"/>
    <w:rsid w:val="00564123"/>
    <w:rsid w:val="00565F5B"/>
    <w:rsid w:val="005761BA"/>
    <w:rsid w:val="0058211C"/>
    <w:rsid w:val="00591A70"/>
    <w:rsid w:val="0059484A"/>
    <w:rsid w:val="00596198"/>
    <w:rsid w:val="00596569"/>
    <w:rsid w:val="005A2382"/>
    <w:rsid w:val="005A5E17"/>
    <w:rsid w:val="005B3267"/>
    <w:rsid w:val="005B7882"/>
    <w:rsid w:val="005C1852"/>
    <w:rsid w:val="005C1CA2"/>
    <w:rsid w:val="005C3924"/>
    <w:rsid w:val="005C3EB2"/>
    <w:rsid w:val="005C4DC9"/>
    <w:rsid w:val="005C720A"/>
    <w:rsid w:val="005D1AE7"/>
    <w:rsid w:val="005D1E7B"/>
    <w:rsid w:val="005D2E4B"/>
    <w:rsid w:val="005D32F9"/>
    <w:rsid w:val="005D4FEB"/>
    <w:rsid w:val="005F032A"/>
    <w:rsid w:val="005F3DAC"/>
    <w:rsid w:val="005F473B"/>
    <w:rsid w:val="005F544E"/>
    <w:rsid w:val="00614DA0"/>
    <w:rsid w:val="00622E28"/>
    <w:rsid w:val="00627FDA"/>
    <w:rsid w:val="006324D0"/>
    <w:rsid w:val="00641686"/>
    <w:rsid w:val="00642FC2"/>
    <w:rsid w:val="0064536F"/>
    <w:rsid w:val="00646D5B"/>
    <w:rsid w:val="0065195A"/>
    <w:rsid w:val="00652B12"/>
    <w:rsid w:val="00661707"/>
    <w:rsid w:val="00664E29"/>
    <w:rsid w:val="00665668"/>
    <w:rsid w:val="00665EAD"/>
    <w:rsid w:val="00672C12"/>
    <w:rsid w:val="00674323"/>
    <w:rsid w:val="006776F2"/>
    <w:rsid w:val="00683EBE"/>
    <w:rsid w:val="006A05D5"/>
    <w:rsid w:val="006A5108"/>
    <w:rsid w:val="006A5854"/>
    <w:rsid w:val="006B6C0E"/>
    <w:rsid w:val="006C71FF"/>
    <w:rsid w:val="006D1D15"/>
    <w:rsid w:val="006D7658"/>
    <w:rsid w:val="006E3FC3"/>
    <w:rsid w:val="006E4983"/>
    <w:rsid w:val="006F4190"/>
    <w:rsid w:val="006F44D2"/>
    <w:rsid w:val="006F6B39"/>
    <w:rsid w:val="006F7716"/>
    <w:rsid w:val="00700D81"/>
    <w:rsid w:val="0070125A"/>
    <w:rsid w:val="0071577C"/>
    <w:rsid w:val="007171C5"/>
    <w:rsid w:val="00717FB9"/>
    <w:rsid w:val="007235CA"/>
    <w:rsid w:val="00723BAA"/>
    <w:rsid w:val="00725F3B"/>
    <w:rsid w:val="007335B5"/>
    <w:rsid w:val="00735E20"/>
    <w:rsid w:val="00740F42"/>
    <w:rsid w:val="00741CFA"/>
    <w:rsid w:val="00747CAA"/>
    <w:rsid w:val="007535D0"/>
    <w:rsid w:val="007574D7"/>
    <w:rsid w:val="00765D19"/>
    <w:rsid w:val="007867BD"/>
    <w:rsid w:val="00797605"/>
    <w:rsid w:val="007A6E42"/>
    <w:rsid w:val="007B62AB"/>
    <w:rsid w:val="007C7B24"/>
    <w:rsid w:val="007D33A3"/>
    <w:rsid w:val="007D38DC"/>
    <w:rsid w:val="007D3E2C"/>
    <w:rsid w:val="007D429C"/>
    <w:rsid w:val="007E0711"/>
    <w:rsid w:val="007E6DFD"/>
    <w:rsid w:val="007F34EA"/>
    <w:rsid w:val="007F69D7"/>
    <w:rsid w:val="0081429B"/>
    <w:rsid w:val="00815A1A"/>
    <w:rsid w:val="008244D8"/>
    <w:rsid w:val="00831EBA"/>
    <w:rsid w:val="00834807"/>
    <w:rsid w:val="00837582"/>
    <w:rsid w:val="0084567E"/>
    <w:rsid w:val="00850F81"/>
    <w:rsid w:val="008510CB"/>
    <w:rsid w:val="00851732"/>
    <w:rsid w:val="008557D3"/>
    <w:rsid w:val="0086355D"/>
    <w:rsid w:val="00863FA6"/>
    <w:rsid w:val="00864B8E"/>
    <w:rsid w:val="00872C39"/>
    <w:rsid w:val="008803F8"/>
    <w:rsid w:val="008808D8"/>
    <w:rsid w:val="008814E9"/>
    <w:rsid w:val="00883D59"/>
    <w:rsid w:val="00890B34"/>
    <w:rsid w:val="00897673"/>
    <w:rsid w:val="008A285F"/>
    <w:rsid w:val="008A2EBD"/>
    <w:rsid w:val="008B13EC"/>
    <w:rsid w:val="008C2878"/>
    <w:rsid w:val="009001DB"/>
    <w:rsid w:val="00902A11"/>
    <w:rsid w:val="00903956"/>
    <w:rsid w:val="009131C3"/>
    <w:rsid w:val="00913D1E"/>
    <w:rsid w:val="009200A7"/>
    <w:rsid w:val="00923644"/>
    <w:rsid w:val="009273D6"/>
    <w:rsid w:val="009317A1"/>
    <w:rsid w:val="009355B4"/>
    <w:rsid w:val="00936251"/>
    <w:rsid w:val="00943C17"/>
    <w:rsid w:val="009457F3"/>
    <w:rsid w:val="00945CD2"/>
    <w:rsid w:val="00962D3A"/>
    <w:rsid w:val="00965110"/>
    <w:rsid w:val="00965BFF"/>
    <w:rsid w:val="0096712C"/>
    <w:rsid w:val="00976C03"/>
    <w:rsid w:val="009830A8"/>
    <w:rsid w:val="009856F2"/>
    <w:rsid w:val="00991777"/>
    <w:rsid w:val="009928A2"/>
    <w:rsid w:val="00994A61"/>
    <w:rsid w:val="009A689C"/>
    <w:rsid w:val="009B73D8"/>
    <w:rsid w:val="009C26C1"/>
    <w:rsid w:val="009C4159"/>
    <w:rsid w:val="009D0C0F"/>
    <w:rsid w:val="009E0B74"/>
    <w:rsid w:val="009E0BD9"/>
    <w:rsid w:val="009E3B30"/>
    <w:rsid w:val="009E45C6"/>
    <w:rsid w:val="009E593C"/>
    <w:rsid w:val="009E7E87"/>
    <w:rsid w:val="009F15DA"/>
    <w:rsid w:val="00A03DB4"/>
    <w:rsid w:val="00A04698"/>
    <w:rsid w:val="00A05FAE"/>
    <w:rsid w:val="00A0619C"/>
    <w:rsid w:val="00A20CA9"/>
    <w:rsid w:val="00A21DBE"/>
    <w:rsid w:val="00A25CBD"/>
    <w:rsid w:val="00A25E5C"/>
    <w:rsid w:val="00A32063"/>
    <w:rsid w:val="00A44844"/>
    <w:rsid w:val="00A4560D"/>
    <w:rsid w:val="00A50693"/>
    <w:rsid w:val="00A50B15"/>
    <w:rsid w:val="00A751D1"/>
    <w:rsid w:val="00A853C9"/>
    <w:rsid w:val="00A85506"/>
    <w:rsid w:val="00AA30D4"/>
    <w:rsid w:val="00AA587E"/>
    <w:rsid w:val="00AB58C2"/>
    <w:rsid w:val="00AB6438"/>
    <w:rsid w:val="00AC3ADC"/>
    <w:rsid w:val="00AC519C"/>
    <w:rsid w:val="00AC65FE"/>
    <w:rsid w:val="00AD4801"/>
    <w:rsid w:val="00AD6422"/>
    <w:rsid w:val="00AD7065"/>
    <w:rsid w:val="00AE23EA"/>
    <w:rsid w:val="00AE38E1"/>
    <w:rsid w:val="00AF299E"/>
    <w:rsid w:val="00AF7D91"/>
    <w:rsid w:val="00AF7E25"/>
    <w:rsid w:val="00B006AA"/>
    <w:rsid w:val="00B00FC1"/>
    <w:rsid w:val="00B03086"/>
    <w:rsid w:val="00B1195A"/>
    <w:rsid w:val="00B12FC7"/>
    <w:rsid w:val="00B26DC6"/>
    <w:rsid w:val="00B33512"/>
    <w:rsid w:val="00B34B5C"/>
    <w:rsid w:val="00B34BEA"/>
    <w:rsid w:val="00B36181"/>
    <w:rsid w:val="00B36222"/>
    <w:rsid w:val="00B3670B"/>
    <w:rsid w:val="00B36B14"/>
    <w:rsid w:val="00B4457A"/>
    <w:rsid w:val="00B44C31"/>
    <w:rsid w:val="00B51385"/>
    <w:rsid w:val="00B5161D"/>
    <w:rsid w:val="00B606C2"/>
    <w:rsid w:val="00B60B45"/>
    <w:rsid w:val="00B74103"/>
    <w:rsid w:val="00B745FC"/>
    <w:rsid w:val="00B74F05"/>
    <w:rsid w:val="00BA20CB"/>
    <w:rsid w:val="00BA5C38"/>
    <w:rsid w:val="00BB10E4"/>
    <w:rsid w:val="00BB628D"/>
    <w:rsid w:val="00BC14DB"/>
    <w:rsid w:val="00BC5E9D"/>
    <w:rsid w:val="00BD3CC6"/>
    <w:rsid w:val="00BE0B77"/>
    <w:rsid w:val="00BE2916"/>
    <w:rsid w:val="00BE643F"/>
    <w:rsid w:val="00BF3329"/>
    <w:rsid w:val="00C0038E"/>
    <w:rsid w:val="00C02933"/>
    <w:rsid w:val="00C06098"/>
    <w:rsid w:val="00C06492"/>
    <w:rsid w:val="00C11AC9"/>
    <w:rsid w:val="00C1205E"/>
    <w:rsid w:val="00C17430"/>
    <w:rsid w:val="00C174EF"/>
    <w:rsid w:val="00C31F83"/>
    <w:rsid w:val="00C34687"/>
    <w:rsid w:val="00C36A3A"/>
    <w:rsid w:val="00C40BDF"/>
    <w:rsid w:val="00C45937"/>
    <w:rsid w:val="00C45DE9"/>
    <w:rsid w:val="00C53799"/>
    <w:rsid w:val="00C539A2"/>
    <w:rsid w:val="00C56937"/>
    <w:rsid w:val="00C61677"/>
    <w:rsid w:val="00C700BF"/>
    <w:rsid w:val="00C71090"/>
    <w:rsid w:val="00C755C8"/>
    <w:rsid w:val="00C76561"/>
    <w:rsid w:val="00C76C02"/>
    <w:rsid w:val="00C77252"/>
    <w:rsid w:val="00C825FE"/>
    <w:rsid w:val="00C9571A"/>
    <w:rsid w:val="00C964CB"/>
    <w:rsid w:val="00CA1ADC"/>
    <w:rsid w:val="00CA3974"/>
    <w:rsid w:val="00CB14C3"/>
    <w:rsid w:val="00CC4D6F"/>
    <w:rsid w:val="00CC5E5D"/>
    <w:rsid w:val="00CC7182"/>
    <w:rsid w:val="00CE09F6"/>
    <w:rsid w:val="00CE23B9"/>
    <w:rsid w:val="00CE2C22"/>
    <w:rsid w:val="00CF1DCC"/>
    <w:rsid w:val="00D104F6"/>
    <w:rsid w:val="00D16353"/>
    <w:rsid w:val="00D21EA6"/>
    <w:rsid w:val="00D23374"/>
    <w:rsid w:val="00D24489"/>
    <w:rsid w:val="00D26AC7"/>
    <w:rsid w:val="00D3158E"/>
    <w:rsid w:val="00D31B06"/>
    <w:rsid w:val="00D47DCB"/>
    <w:rsid w:val="00D51187"/>
    <w:rsid w:val="00D53ED1"/>
    <w:rsid w:val="00D553B4"/>
    <w:rsid w:val="00D559E8"/>
    <w:rsid w:val="00D566BC"/>
    <w:rsid w:val="00D60E9B"/>
    <w:rsid w:val="00D61D53"/>
    <w:rsid w:val="00D63955"/>
    <w:rsid w:val="00D63D6D"/>
    <w:rsid w:val="00D76A04"/>
    <w:rsid w:val="00D8557F"/>
    <w:rsid w:val="00D87BEA"/>
    <w:rsid w:val="00D932C8"/>
    <w:rsid w:val="00D95A17"/>
    <w:rsid w:val="00D9786E"/>
    <w:rsid w:val="00DA1262"/>
    <w:rsid w:val="00DA1EC8"/>
    <w:rsid w:val="00DB48F5"/>
    <w:rsid w:val="00DB5E68"/>
    <w:rsid w:val="00DB7801"/>
    <w:rsid w:val="00DB780B"/>
    <w:rsid w:val="00DC1CE2"/>
    <w:rsid w:val="00DC4F1D"/>
    <w:rsid w:val="00DD1DAA"/>
    <w:rsid w:val="00DD5704"/>
    <w:rsid w:val="00DE681C"/>
    <w:rsid w:val="00DF0979"/>
    <w:rsid w:val="00E04384"/>
    <w:rsid w:val="00E063F1"/>
    <w:rsid w:val="00E10700"/>
    <w:rsid w:val="00E13119"/>
    <w:rsid w:val="00E2297D"/>
    <w:rsid w:val="00E2346A"/>
    <w:rsid w:val="00E25294"/>
    <w:rsid w:val="00E30E3D"/>
    <w:rsid w:val="00E3361C"/>
    <w:rsid w:val="00E354CD"/>
    <w:rsid w:val="00E3670A"/>
    <w:rsid w:val="00E522BB"/>
    <w:rsid w:val="00E53711"/>
    <w:rsid w:val="00E53ECE"/>
    <w:rsid w:val="00E55BF0"/>
    <w:rsid w:val="00E602C3"/>
    <w:rsid w:val="00E6529C"/>
    <w:rsid w:val="00E71230"/>
    <w:rsid w:val="00E71967"/>
    <w:rsid w:val="00E7600B"/>
    <w:rsid w:val="00E76E51"/>
    <w:rsid w:val="00E8632C"/>
    <w:rsid w:val="00EA0742"/>
    <w:rsid w:val="00EA3FC5"/>
    <w:rsid w:val="00EA4B91"/>
    <w:rsid w:val="00EA5D0A"/>
    <w:rsid w:val="00EB6240"/>
    <w:rsid w:val="00EB7C8A"/>
    <w:rsid w:val="00EC3A85"/>
    <w:rsid w:val="00EC46F3"/>
    <w:rsid w:val="00ED28EB"/>
    <w:rsid w:val="00ED3B2B"/>
    <w:rsid w:val="00EE5373"/>
    <w:rsid w:val="00EE6239"/>
    <w:rsid w:val="00EE6751"/>
    <w:rsid w:val="00EF54DB"/>
    <w:rsid w:val="00EF79A0"/>
    <w:rsid w:val="00EF7AF8"/>
    <w:rsid w:val="00F02610"/>
    <w:rsid w:val="00F0559B"/>
    <w:rsid w:val="00F116EF"/>
    <w:rsid w:val="00F158BA"/>
    <w:rsid w:val="00F1712F"/>
    <w:rsid w:val="00F17C60"/>
    <w:rsid w:val="00F2101F"/>
    <w:rsid w:val="00F34ED2"/>
    <w:rsid w:val="00F40214"/>
    <w:rsid w:val="00F431A6"/>
    <w:rsid w:val="00F4481A"/>
    <w:rsid w:val="00F4636E"/>
    <w:rsid w:val="00F511BD"/>
    <w:rsid w:val="00F605D9"/>
    <w:rsid w:val="00F7126B"/>
    <w:rsid w:val="00F80E5B"/>
    <w:rsid w:val="00F85690"/>
    <w:rsid w:val="00F867DD"/>
    <w:rsid w:val="00F868E1"/>
    <w:rsid w:val="00F923A8"/>
    <w:rsid w:val="00F92A80"/>
    <w:rsid w:val="00F959CE"/>
    <w:rsid w:val="00FA1BFE"/>
    <w:rsid w:val="00FA77AB"/>
    <w:rsid w:val="00FB2ED5"/>
    <w:rsid w:val="00FB5660"/>
    <w:rsid w:val="00FD25A9"/>
    <w:rsid w:val="00FD260E"/>
    <w:rsid w:val="00FD6B7E"/>
    <w:rsid w:val="00FE1327"/>
    <w:rsid w:val="00FE42F3"/>
    <w:rsid w:val="00FE6B90"/>
    <w:rsid w:val="00FF1B18"/>
    <w:rsid w:val="00FF666C"/>
    <w:rsid w:val="034637F2"/>
    <w:rsid w:val="037806F1"/>
    <w:rsid w:val="03935003"/>
    <w:rsid w:val="0656147F"/>
    <w:rsid w:val="08ED6297"/>
    <w:rsid w:val="0B166F23"/>
    <w:rsid w:val="0B66246D"/>
    <w:rsid w:val="0D1A623C"/>
    <w:rsid w:val="0D914105"/>
    <w:rsid w:val="102D5EC8"/>
    <w:rsid w:val="127E0CBD"/>
    <w:rsid w:val="13E61F4D"/>
    <w:rsid w:val="14361782"/>
    <w:rsid w:val="184A3D8E"/>
    <w:rsid w:val="19597C88"/>
    <w:rsid w:val="19E1434F"/>
    <w:rsid w:val="1B6F63A7"/>
    <w:rsid w:val="1C15568D"/>
    <w:rsid w:val="1CC46AD7"/>
    <w:rsid w:val="1D1308C1"/>
    <w:rsid w:val="1D66472A"/>
    <w:rsid w:val="1EB647BA"/>
    <w:rsid w:val="20BC04C4"/>
    <w:rsid w:val="20E3106F"/>
    <w:rsid w:val="21011C20"/>
    <w:rsid w:val="22235426"/>
    <w:rsid w:val="227E5B32"/>
    <w:rsid w:val="232B32B5"/>
    <w:rsid w:val="2343558A"/>
    <w:rsid w:val="2576360D"/>
    <w:rsid w:val="26ED3CE2"/>
    <w:rsid w:val="29DB1749"/>
    <w:rsid w:val="2ADF102D"/>
    <w:rsid w:val="2B4B07C0"/>
    <w:rsid w:val="2C0E52B1"/>
    <w:rsid w:val="30514792"/>
    <w:rsid w:val="31035FBF"/>
    <w:rsid w:val="310F57FD"/>
    <w:rsid w:val="31F64F93"/>
    <w:rsid w:val="32654F32"/>
    <w:rsid w:val="328871F7"/>
    <w:rsid w:val="355967A3"/>
    <w:rsid w:val="372A1D4D"/>
    <w:rsid w:val="39EF334B"/>
    <w:rsid w:val="3A2032EC"/>
    <w:rsid w:val="3B007EDD"/>
    <w:rsid w:val="3D03016B"/>
    <w:rsid w:val="3D67319F"/>
    <w:rsid w:val="3D72549A"/>
    <w:rsid w:val="3EE174D4"/>
    <w:rsid w:val="415F1413"/>
    <w:rsid w:val="420238AF"/>
    <w:rsid w:val="424066D7"/>
    <w:rsid w:val="426000A4"/>
    <w:rsid w:val="46CE6F79"/>
    <w:rsid w:val="48FE1B37"/>
    <w:rsid w:val="49B854EB"/>
    <w:rsid w:val="49DB0EAC"/>
    <w:rsid w:val="4A634C17"/>
    <w:rsid w:val="4C946AB8"/>
    <w:rsid w:val="4EB467E1"/>
    <w:rsid w:val="4F761363"/>
    <w:rsid w:val="51CE062C"/>
    <w:rsid w:val="52654F7D"/>
    <w:rsid w:val="53433CFF"/>
    <w:rsid w:val="535827B3"/>
    <w:rsid w:val="5361489F"/>
    <w:rsid w:val="539A4887"/>
    <w:rsid w:val="53FB3D17"/>
    <w:rsid w:val="54682243"/>
    <w:rsid w:val="54A21DF8"/>
    <w:rsid w:val="54BE2A37"/>
    <w:rsid w:val="55846BA1"/>
    <w:rsid w:val="55F23579"/>
    <w:rsid w:val="56024D3D"/>
    <w:rsid w:val="56913C33"/>
    <w:rsid w:val="56F36C35"/>
    <w:rsid w:val="57A30034"/>
    <w:rsid w:val="590D0629"/>
    <w:rsid w:val="5B877EC9"/>
    <w:rsid w:val="5C7137D0"/>
    <w:rsid w:val="5D4908AF"/>
    <w:rsid w:val="5EDE73A9"/>
    <w:rsid w:val="60603614"/>
    <w:rsid w:val="642B192D"/>
    <w:rsid w:val="658D6EFF"/>
    <w:rsid w:val="659E0B66"/>
    <w:rsid w:val="66446AAE"/>
    <w:rsid w:val="677C2BB1"/>
    <w:rsid w:val="693F2976"/>
    <w:rsid w:val="69703220"/>
    <w:rsid w:val="69B6608C"/>
    <w:rsid w:val="6B0309FA"/>
    <w:rsid w:val="6B7978A2"/>
    <w:rsid w:val="72E27A64"/>
    <w:rsid w:val="731645FF"/>
    <w:rsid w:val="7728234B"/>
    <w:rsid w:val="77452A49"/>
    <w:rsid w:val="77911AAD"/>
    <w:rsid w:val="7A0122DE"/>
    <w:rsid w:val="7C1F4E20"/>
    <w:rsid w:val="7C404CB8"/>
    <w:rsid w:val="7D3F2B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qFormat="1"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37"/>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paragraph" w:styleId="5">
    <w:name w:val="heading 8"/>
    <w:basedOn w:val="1"/>
    <w:next w:val="1"/>
    <w:link w:val="39"/>
    <w:qFormat/>
    <w:uiPriority w:val="9"/>
    <w:pPr>
      <w:keepNext/>
      <w:keepLines/>
      <w:spacing w:before="240" w:after="64" w:line="320" w:lineRule="auto"/>
      <w:outlineLvl w:val="7"/>
    </w:pPr>
    <w:rPr>
      <w:rFonts w:ascii="Cambria" w:hAnsi="Cambria"/>
      <w:sz w:val="24"/>
    </w:rPr>
  </w:style>
  <w:style w:type="paragraph" w:styleId="6">
    <w:name w:val="heading 9"/>
    <w:basedOn w:val="1"/>
    <w:next w:val="1"/>
    <w:link w:val="38"/>
    <w:qFormat/>
    <w:uiPriority w:val="9"/>
    <w:pPr>
      <w:keepNext/>
      <w:keepLines/>
      <w:spacing w:before="240" w:after="64" w:line="320" w:lineRule="auto"/>
      <w:outlineLvl w:val="8"/>
    </w:pPr>
    <w:rPr>
      <w:rFonts w:ascii="Cambria" w:hAnsi="Cambria"/>
      <w:szCs w:val="21"/>
    </w:rPr>
  </w:style>
  <w:style w:type="character" w:default="1" w:styleId="19">
    <w:name w:val="Default Paragraph Font"/>
    <w:unhideWhenUsed/>
    <w:qFormat/>
    <w:uiPriority w:val="0"/>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7">
    <w:name w:val="toc 7"/>
    <w:basedOn w:val="1"/>
    <w:next w:val="1"/>
    <w:unhideWhenUsed/>
    <w:qFormat/>
    <w:uiPriority w:val="39"/>
    <w:pPr>
      <w:ind w:left="2520" w:leftChars="1200"/>
    </w:pPr>
  </w:style>
  <w:style w:type="paragraph" w:styleId="8">
    <w:name w:val="Body Text"/>
    <w:basedOn w:val="1"/>
    <w:unhideWhenUsed/>
    <w:qFormat/>
    <w:uiPriority w:val="99"/>
    <w:rPr>
      <w:sz w:val="24"/>
    </w:rPr>
  </w:style>
  <w:style w:type="paragraph" w:styleId="9">
    <w:name w:val="toc 3"/>
    <w:basedOn w:val="1"/>
    <w:next w:val="1"/>
    <w:unhideWhenUsed/>
    <w:qFormat/>
    <w:uiPriority w:val="39"/>
    <w:pPr>
      <w:ind w:left="840" w:leftChars="400"/>
    </w:pPr>
  </w:style>
  <w:style w:type="paragraph" w:styleId="10">
    <w:name w:val="toc 8"/>
    <w:basedOn w:val="7"/>
    <w:next w:val="1"/>
    <w:qFormat/>
    <w:uiPriority w:val="39"/>
    <w:pPr>
      <w:widowControl/>
      <w:ind w:left="0" w:leftChars="0"/>
    </w:pPr>
    <w:rPr>
      <w:rFonts w:ascii="宋体" w:hAnsi="宋体"/>
      <w:kern w:val="0"/>
      <w:szCs w:val="20"/>
    </w:rPr>
  </w:style>
  <w:style w:type="paragraph" w:styleId="11">
    <w:name w:val="footer"/>
    <w:basedOn w:val="1"/>
    <w:link w:val="42"/>
    <w:unhideWhenUsed/>
    <w:qFormat/>
    <w:uiPriority w:val="99"/>
    <w:pPr>
      <w:tabs>
        <w:tab w:val="center" w:pos="4153"/>
        <w:tab w:val="right" w:pos="8306"/>
      </w:tabs>
      <w:snapToGrid w:val="0"/>
      <w:jc w:val="left"/>
    </w:pPr>
    <w:rPr>
      <w:sz w:val="18"/>
      <w:szCs w:val="18"/>
    </w:rPr>
  </w:style>
  <w:style w:type="paragraph" w:styleId="12">
    <w:name w:val="header"/>
    <w:basedOn w:val="1"/>
    <w:link w:val="45"/>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next w:val="1"/>
    <w:qFormat/>
    <w:uiPriority w:val="39"/>
    <w:pPr>
      <w:jc w:val="both"/>
    </w:pPr>
    <w:rPr>
      <w:rFonts w:ascii="宋体" w:hAnsi="Calibri" w:eastAsia="宋体" w:cs="Times New Roman"/>
      <w:sz w:val="21"/>
      <w:lang w:val="en-US" w:eastAsia="zh-CN" w:bidi="ar-SA"/>
    </w:rPr>
  </w:style>
  <w:style w:type="paragraph" w:styleId="14">
    <w:name w:val="toc 2"/>
    <w:basedOn w:val="1"/>
    <w:next w:val="1"/>
    <w:unhideWhenUsed/>
    <w:qFormat/>
    <w:uiPriority w:val="39"/>
    <w:pPr>
      <w:ind w:left="420" w:leftChars="200"/>
    </w:pPr>
  </w:style>
  <w:style w:type="paragraph" w:styleId="15">
    <w:name w:val="toc 9"/>
    <w:basedOn w:val="10"/>
    <w:next w:val="1"/>
    <w:qFormat/>
    <w:uiPriority w:val="39"/>
  </w:style>
  <w:style w:type="paragraph" w:styleId="16">
    <w:name w:val="HTML Preformatted"/>
    <w:basedOn w:val="1"/>
    <w:link w:val="4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17">
    <w:name w:val="Title"/>
    <w:basedOn w:val="1"/>
    <w:next w:val="1"/>
    <w:link w:val="43"/>
    <w:qFormat/>
    <w:uiPriority w:val="10"/>
    <w:pPr>
      <w:spacing w:before="240" w:after="60"/>
      <w:jc w:val="center"/>
      <w:outlineLvl w:val="0"/>
    </w:pPr>
    <w:rPr>
      <w:rFonts w:ascii="Cambria" w:hAnsi="Cambria"/>
      <w:b/>
      <w:bCs/>
      <w:sz w:val="32"/>
      <w:szCs w:val="32"/>
    </w:rPr>
  </w:style>
  <w:style w:type="character" w:styleId="20">
    <w:name w:val="page number"/>
    <w:basedOn w:val="19"/>
    <w:unhideWhenUsed/>
    <w:qFormat/>
    <w:uiPriority w:val="99"/>
  </w:style>
  <w:style w:type="character" w:styleId="21">
    <w:name w:val="Hyperlink"/>
    <w:qFormat/>
    <w:uiPriority w:val="99"/>
    <w:rPr>
      <w:rFonts w:ascii="Times New Roman" w:hAnsi="Times New Roman" w:eastAsia="宋体"/>
      <w:color w:val="auto"/>
      <w:spacing w:val="0"/>
      <w:w w:val="100"/>
      <w:position w:val="0"/>
      <w:sz w:val="21"/>
      <w:u w:val="none"/>
      <w:vertAlign w:val="baseline"/>
    </w:rPr>
  </w:style>
  <w:style w:type="paragraph" w:customStyle="1" w:styleId="22">
    <w:name w:val="二级条标题"/>
    <w:basedOn w:val="23"/>
    <w:next w:val="24"/>
    <w:qFormat/>
    <w:uiPriority w:val="0"/>
    <w:pPr>
      <w:numPr>
        <w:ilvl w:val="2"/>
        <w:numId w:val="1"/>
      </w:numPr>
      <w:spacing w:before="50" w:after="50"/>
      <w:outlineLvl w:val="3"/>
    </w:pPr>
  </w:style>
  <w:style w:type="paragraph" w:customStyle="1" w:styleId="23">
    <w:name w:val="一级条标题"/>
    <w:next w:val="24"/>
    <w:qFormat/>
    <w:uiPriority w:val="0"/>
    <w:pPr>
      <w:numPr>
        <w:ilvl w:val="1"/>
        <w:numId w:val="1"/>
      </w:numPr>
      <w:spacing w:before="156" w:beforeLines="50" w:after="156" w:afterLines="50"/>
      <w:outlineLvl w:val="2"/>
    </w:pPr>
    <w:rPr>
      <w:rFonts w:ascii="黑体" w:hAnsi="Calibri" w:eastAsia="黑体" w:cs="Times New Roman"/>
      <w:sz w:val="21"/>
      <w:szCs w:val="21"/>
      <w:lang w:val="en-US" w:eastAsia="zh-CN" w:bidi="ar-SA"/>
    </w:rPr>
  </w:style>
  <w:style w:type="paragraph" w:customStyle="1" w:styleId="24">
    <w:name w:val="段"/>
    <w:link w:val="44"/>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5">
    <w:name w:val="List Paragraph"/>
    <w:basedOn w:val="1"/>
    <w:qFormat/>
    <w:uiPriority w:val="1"/>
    <w:pPr>
      <w:ind w:left="2138" w:hanging="721"/>
    </w:pPr>
    <w:rPr>
      <w:rFonts w:ascii="宋体" w:hAnsi="宋体" w:eastAsia="宋体" w:cs="宋体"/>
      <w:lang w:val="en-US" w:eastAsia="en-US" w:bidi="en-US"/>
    </w:rPr>
  </w:style>
  <w:style w:type="paragraph" w:customStyle="1" w:styleId="26">
    <w:name w:val="目次、标准名称标题"/>
    <w:basedOn w:val="1"/>
    <w:next w:val="24"/>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7">
    <w:name w:val="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8">
    <w:name w:val="列项●（二级）"/>
    <w:qFormat/>
    <w:uiPriority w:val="0"/>
    <w:pPr>
      <w:numPr>
        <w:ilvl w:val="1"/>
        <w:numId w:val="1"/>
      </w:numPr>
      <w:tabs>
        <w:tab w:val="left" w:pos="840"/>
      </w:tabs>
      <w:jc w:val="both"/>
    </w:pPr>
    <w:rPr>
      <w:rFonts w:ascii="宋体" w:hAnsi="Calibri" w:eastAsia="宋体" w:cs="Times New Roman"/>
      <w:sz w:val="21"/>
      <w:lang w:val="en-US" w:eastAsia="zh-CN" w:bidi="ar-SA"/>
    </w:rPr>
  </w:style>
  <w:style w:type="paragraph" w:customStyle="1" w:styleId="29">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30">
    <w:name w:val="Body text|21"/>
    <w:basedOn w:val="1"/>
    <w:link w:val="36"/>
    <w:qFormat/>
    <w:uiPriority w:val="0"/>
    <w:pPr>
      <w:widowControl w:val="0"/>
      <w:shd w:val="clear" w:color="auto" w:fill="FFFFFF"/>
      <w:spacing w:after="540" w:line="220" w:lineRule="exact"/>
      <w:ind w:hanging="540"/>
      <w:jc w:val="center"/>
    </w:pPr>
    <w:rPr>
      <w:rFonts w:ascii="PMingLiU" w:hAnsi="PMingLiU" w:eastAsia="PMingLiU" w:cs="PMingLiU"/>
      <w:spacing w:val="10"/>
      <w:sz w:val="22"/>
      <w:szCs w:val="22"/>
      <w:u w:val="none"/>
    </w:rPr>
  </w:style>
  <w:style w:type="paragraph" w:customStyle="1" w:styleId="31">
    <w:name w:val="字母编号列项（一级）"/>
    <w:qFormat/>
    <w:uiPriority w:val="0"/>
    <w:pPr>
      <w:numPr>
        <w:ilvl w:val="0"/>
        <w:numId w:val="2"/>
      </w:numPr>
      <w:jc w:val="both"/>
    </w:pPr>
    <w:rPr>
      <w:rFonts w:ascii="宋体" w:hAnsi="Calibri" w:eastAsia="宋体" w:cs="Times New Roman"/>
      <w:sz w:val="21"/>
      <w:lang w:val="en-US" w:eastAsia="zh-CN" w:bidi="ar-SA"/>
    </w:rPr>
  </w:style>
  <w:style w:type="paragraph" w:customStyle="1" w:styleId="32">
    <w:name w:val="二级无"/>
    <w:basedOn w:val="22"/>
    <w:qFormat/>
    <w:uiPriority w:val="0"/>
    <w:pPr>
      <w:numPr>
        <w:ilvl w:val="2"/>
        <w:numId w:val="3"/>
      </w:numPr>
      <w:spacing w:before="0" w:beforeLines="0" w:after="0" w:afterLines="0"/>
    </w:pPr>
    <w:rPr>
      <w:rFonts w:ascii="宋体" w:eastAsia="宋体"/>
    </w:rPr>
  </w:style>
  <w:style w:type="paragraph" w:customStyle="1" w:styleId="33">
    <w:name w:val=" Char Char1 Char Char Char Char Char Char Char Char"/>
    <w:basedOn w:val="1"/>
    <w:qFormat/>
    <w:uiPriority w:val="0"/>
  </w:style>
  <w:style w:type="paragraph" w:customStyle="1" w:styleId="34">
    <w:name w:val="Char Char1 Char Char Char Char Char Char Char"/>
    <w:basedOn w:val="1"/>
    <w:qFormat/>
    <w:uiPriority w:val="0"/>
    <w:pPr>
      <w:widowControl/>
      <w:spacing w:after="160" w:line="240" w:lineRule="exact"/>
      <w:jc w:val="left"/>
    </w:pPr>
    <w:rPr>
      <w:rFonts w:ascii="Tahoma" w:hAnsi="Tahoma" w:eastAsia="Times New Roman" w:cs="Tahoma"/>
      <w:kern w:val="0"/>
      <w:sz w:val="20"/>
      <w:szCs w:val="20"/>
      <w:lang w:eastAsia="en-US"/>
    </w:rPr>
  </w:style>
  <w:style w:type="character" w:customStyle="1" w:styleId="35">
    <w:name w:val="Body text|2 + Spacing 0 pt"/>
    <w:basedOn w:val="36"/>
    <w:unhideWhenUsed/>
    <w:qFormat/>
    <w:uiPriority w:val="0"/>
    <w:rPr>
      <w:color w:val="000000"/>
      <w:spacing w:val="0"/>
      <w:w w:val="100"/>
      <w:position w:val="0"/>
      <w:lang w:val="en-US" w:eastAsia="en-US" w:bidi="en-US"/>
    </w:rPr>
  </w:style>
  <w:style w:type="character" w:customStyle="1" w:styleId="36">
    <w:name w:val="Body text|2_"/>
    <w:basedOn w:val="19"/>
    <w:link w:val="30"/>
    <w:qFormat/>
    <w:uiPriority w:val="0"/>
    <w:rPr>
      <w:rFonts w:ascii="PMingLiU" w:hAnsi="PMingLiU" w:eastAsia="PMingLiU" w:cs="PMingLiU"/>
      <w:spacing w:val="10"/>
      <w:sz w:val="22"/>
      <w:szCs w:val="22"/>
      <w:u w:val="none"/>
    </w:rPr>
  </w:style>
  <w:style w:type="character" w:customStyle="1" w:styleId="37">
    <w:name w:val="标题 1 Char"/>
    <w:link w:val="2"/>
    <w:qFormat/>
    <w:uiPriority w:val="9"/>
    <w:rPr>
      <w:b/>
      <w:bCs/>
      <w:kern w:val="44"/>
      <w:sz w:val="44"/>
      <w:szCs w:val="44"/>
    </w:rPr>
  </w:style>
  <w:style w:type="character" w:customStyle="1" w:styleId="38">
    <w:name w:val="标题 9 Char"/>
    <w:link w:val="6"/>
    <w:semiHidden/>
    <w:qFormat/>
    <w:uiPriority w:val="9"/>
    <w:rPr>
      <w:rFonts w:ascii="Cambria" w:hAnsi="Cambria" w:eastAsia="宋体" w:cs="Times New Roman"/>
      <w:kern w:val="2"/>
      <w:sz w:val="21"/>
      <w:szCs w:val="21"/>
    </w:rPr>
  </w:style>
  <w:style w:type="character" w:customStyle="1" w:styleId="39">
    <w:name w:val="标题 8 Char"/>
    <w:link w:val="5"/>
    <w:semiHidden/>
    <w:qFormat/>
    <w:uiPriority w:val="9"/>
    <w:rPr>
      <w:rFonts w:ascii="Cambria" w:hAnsi="Cambria" w:eastAsia="宋体" w:cs="Times New Roman"/>
      <w:kern w:val="2"/>
      <w:sz w:val="24"/>
      <w:szCs w:val="24"/>
    </w:rPr>
  </w:style>
  <w:style w:type="character" w:customStyle="1" w:styleId="40">
    <w:name w:val="Body text|2 + Spacing 2 pt"/>
    <w:basedOn w:val="36"/>
    <w:unhideWhenUsed/>
    <w:qFormat/>
    <w:uiPriority w:val="0"/>
    <w:rPr>
      <w:color w:val="000000"/>
      <w:spacing w:val="40"/>
      <w:w w:val="100"/>
      <w:position w:val="0"/>
      <w:lang w:val="zh-CN" w:eastAsia="zh-CN" w:bidi="zh-CN"/>
    </w:rPr>
  </w:style>
  <w:style w:type="character" w:customStyle="1" w:styleId="41">
    <w:name w:val="HTML 预设格式 Char"/>
    <w:link w:val="16"/>
    <w:qFormat/>
    <w:uiPriority w:val="99"/>
    <w:rPr>
      <w:rFonts w:ascii="宋体" w:hAnsi="宋体" w:cs="宋体"/>
      <w:sz w:val="24"/>
      <w:szCs w:val="24"/>
    </w:rPr>
  </w:style>
  <w:style w:type="character" w:customStyle="1" w:styleId="42">
    <w:name w:val="页脚 Char"/>
    <w:link w:val="11"/>
    <w:qFormat/>
    <w:uiPriority w:val="99"/>
    <w:rPr>
      <w:kern w:val="2"/>
      <w:sz w:val="18"/>
      <w:szCs w:val="18"/>
    </w:rPr>
  </w:style>
  <w:style w:type="character" w:customStyle="1" w:styleId="43">
    <w:name w:val="标题 Char"/>
    <w:link w:val="17"/>
    <w:qFormat/>
    <w:uiPriority w:val="10"/>
    <w:rPr>
      <w:rFonts w:ascii="Cambria" w:hAnsi="Cambria" w:cs="Times New Roman"/>
      <w:b/>
      <w:bCs/>
      <w:kern w:val="2"/>
      <w:sz w:val="32"/>
      <w:szCs w:val="32"/>
    </w:rPr>
  </w:style>
  <w:style w:type="character" w:customStyle="1" w:styleId="44">
    <w:name w:val="段 Char"/>
    <w:link w:val="24"/>
    <w:qFormat/>
    <w:uiPriority w:val="0"/>
    <w:rPr>
      <w:rFonts w:ascii="宋体"/>
      <w:sz w:val="21"/>
      <w:lang w:val="en-US" w:eastAsia="zh-CN" w:bidi="ar-SA"/>
    </w:rPr>
  </w:style>
  <w:style w:type="character" w:customStyle="1" w:styleId="45">
    <w:name w:val="页眉 Char"/>
    <w:link w:val="1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7" Type="http://schemas.openxmlformats.org/officeDocument/2006/relationships/fontTable" Target="fontTable.xml"/><Relationship Id="rId66" Type="http://schemas.openxmlformats.org/officeDocument/2006/relationships/numbering" Target="numbering.xml"/><Relationship Id="rId65" Type="http://schemas.openxmlformats.org/officeDocument/2006/relationships/customXml" Target="../customXml/item1.xml"/><Relationship Id="rId64" Type="http://schemas.openxmlformats.org/officeDocument/2006/relationships/image" Target="media/image29.wmf"/><Relationship Id="rId63" Type="http://schemas.openxmlformats.org/officeDocument/2006/relationships/oleObject" Target="embeddings/oleObject22.bin"/><Relationship Id="rId62" Type="http://schemas.openxmlformats.org/officeDocument/2006/relationships/image" Target="media/image28.png"/><Relationship Id="rId61" Type="http://schemas.openxmlformats.org/officeDocument/2006/relationships/image" Target="media/image27.png"/><Relationship Id="rId60" Type="http://schemas.openxmlformats.org/officeDocument/2006/relationships/image" Target="media/image26.png"/><Relationship Id="rId6" Type="http://schemas.openxmlformats.org/officeDocument/2006/relationships/footer" Target="footer1.xml"/><Relationship Id="rId59" Type="http://schemas.openxmlformats.org/officeDocument/2006/relationships/image" Target="media/image25.png"/><Relationship Id="rId58" Type="http://schemas.openxmlformats.org/officeDocument/2006/relationships/image" Target="media/image24.wmf"/><Relationship Id="rId57" Type="http://schemas.openxmlformats.org/officeDocument/2006/relationships/oleObject" Target="embeddings/oleObject21.bin"/><Relationship Id="rId56" Type="http://schemas.openxmlformats.org/officeDocument/2006/relationships/image" Target="media/image23.wmf"/><Relationship Id="rId55" Type="http://schemas.openxmlformats.org/officeDocument/2006/relationships/oleObject" Target="embeddings/oleObject20.bin"/><Relationship Id="rId54" Type="http://schemas.openxmlformats.org/officeDocument/2006/relationships/image" Target="media/image22.wmf"/><Relationship Id="rId53" Type="http://schemas.openxmlformats.org/officeDocument/2006/relationships/oleObject" Target="embeddings/oleObject19.bin"/><Relationship Id="rId52" Type="http://schemas.openxmlformats.org/officeDocument/2006/relationships/image" Target="media/image21.wmf"/><Relationship Id="rId51" Type="http://schemas.openxmlformats.org/officeDocument/2006/relationships/oleObject" Target="embeddings/oleObject18.bin"/><Relationship Id="rId50" Type="http://schemas.openxmlformats.org/officeDocument/2006/relationships/image" Target="media/image20.wmf"/><Relationship Id="rId5" Type="http://schemas.openxmlformats.org/officeDocument/2006/relationships/header" Target="header3.xml"/><Relationship Id="rId49" Type="http://schemas.openxmlformats.org/officeDocument/2006/relationships/oleObject" Target="embeddings/oleObject17.bin"/><Relationship Id="rId48" Type="http://schemas.openxmlformats.org/officeDocument/2006/relationships/image" Target="media/image19.wmf"/><Relationship Id="rId47" Type="http://schemas.openxmlformats.org/officeDocument/2006/relationships/oleObject" Target="embeddings/oleObject16.bin"/><Relationship Id="rId46" Type="http://schemas.openxmlformats.org/officeDocument/2006/relationships/image" Target="media/image18.wmf"/><Relationship Id="rId45" Type="http://schemas.openxmlformats.org/officeDocument/2006/relationships/oleObject" Target="embeddings/oleObject15.bin"/><Relationship Id="rId44" Type="http://schemas.openxmlformats.org/officeDocument/2006/relationships/image" Target="media/image17.png"/><Relationship Id="rId43" Type="http://schemas.openxmlformats.org/officeDocument/2006/relationships/image" Target="media/image16.png"/><Relationship Id="rId42" Type="http://schemas.openxmlformats.org/officeDocument/2006/relationships/image" Target="media/image15.wmf"/><Relationship Id="rId41" Type="http://schemas.openxmlformats.org/officeDocument/2006/relationships/oleObject" Target="embeddings/oleObject14.bin"/><Relationship Id="rId40" Type="http://schemas.openxmlformats.org/officeDocument/2006/relationships/image" Target="media/image14.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3.wmf"/><Relationship Id="rId37" Type="http://schemas.openxmlformats.org/officeDocument/2006/relationships/oleObject" Target="embeddings/oleObject12.bin"/><Relationship Id="rId36" Type="http://schemas.openxmlformats.org/officeDocument/2006/relationships/image" Target="media/image12.wmf"/><Relationship Id="rId35" Type="http://schemas.openxmlformats.org/officeDocument/2006/relationships/oleObject" Target="embeddings/oleObject11.bin"/><Relationship Id="rId34" Type="http://schemas.openxmlformats.org/officeDocument/2006/relationships/image" Target="media/image11.wmf"/><Relationship Id="rId33" Type="http://schemas.openxmlformats.org/officeDocument/2006/relationships/oleObject" Target="embeddings/oleObject10.bin"/><Relationship Id="rId32" Type="http://schemas.openxmlformats.org/officeDocument/2006/relationships/image" Target="media/image10.wmf"/><Relationship Id="rId31" Type="http://schemas.openxmlformats.org/officeDocument/2006/relationships/oleObject" Target="embeddings/oleObject9.bin"/><Relationship Id="rId30" Type="http://schemas.openxmlformats.org/officeDocument/2006/relationships/image" Target="media/image9.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8.wmf"/><Relationship Id="rId27" Type="http://schemas.openxmlformats.org/officeDocument/2006/relationships/oleObject" Target="embeddings/oleObject7.bin"/><Relationship Id="rId26" Type="http://schemas.openxmlformats.org/officeDocument/2006/relationships/image" Target="media/image7.wmf"/><Relationship Id="rId25" Type="http://schemas.openxmlformats.org/officeDocument/2006/relationships/oleObject" Target="embeddings/oleObject6.bin"/><Relationship Id="rId24" Type="http://schemas.openxmlformats.org/officeDocument/2006/relationships/image" Target="media/image6.wmf"/><Relationship Id="rId23" Type="http://schemas.openxmlformats.org/officeDocument/2006/relationships/oleObject" Target="embeddings/oleObject5.bin"/><Relationship Id="rId22" Type="http://schemas.openxmlformats.org/officeDocument/2006/relationships/image" Target="media/image5.wmf"/><Relationship Id="rId21" Type="http://schemas.openxmlformats.org/officeDocument/2006/relationships/oleObject" Target="embeddings/oleObject4.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3.wmf"/><Relationship Id="rId17" Type="http://schemas.openxmlformats.org/officeDocument/2006/relationships/oleObject" Target="embeddings/oleObject2.bin"/><Relationship Id="rId16" Type="http://schemas.openxmlformats.org/officeDocument/2006/relationships/image" Target="media/image2.wmf"/><Relationship Id="rId15" Type="http://schemas.openxmlformats.org/officeDocument/2006/relationships/oleObject" Target="embeddings/oleObject1.bin"/><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22</Pages>
  <Words>1910</Words>
  <Characters>10892</Characters>
  <Lines>90</Lines>
  <Paragraphs>25</Paragraphs>
  <TotalTime>7</TotalTime>
  <ScaleCrop>false</ScaleCrop>
  <LinksUpToDate>false</LinksUpToDate>
  <CharactersWithSpaces>12777</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2019-02-18T02:23:00Z</dcterms:created>
  <dc:creator>YYT</dc:creator>
  <cp:keywords>GAS</cp:keywords>
  <cp:lastModifiedBy>李宁</cp:lastModifiedBy>
  <cp:lastPrinted>2019-02-19T02:02:00Z</cp:lastPrinted>
  <dcterms:modified xsi:type="dcterms:W3CDTF">2019-02-19T02:16:28Z</dcterms:modified>
  <dc:title>廖新（重庆市计量计量质量检测研究院）</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