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right="-1560" w:rightChars="-743"/>
        <w:jc w:val="center"/>
        <w:rPr>
          <w:rFonts w:hint="eastAsia" w:ascii="方正小标宋简体" w:hAnsi="楷体" w:eastAsia="方正小标宋简体" w:cs="宋体"/>
          <w:kern w:val="0"/>
          <w:sz w:val="44"/>
          <w:szCs w:val="44"/>
        </w:rPr>
      </w:pPr>
      <w:bookmarkStart w:id="0" w:name="_GoBack"/>
      <w:bookmarkEnd w:id="0"/>
      <w:r>
        <w:rPr>
          <w:rFonts w:hint="eastAsia" w:ascii="方正小标宋简体" w:hAnsi="宋体" w:eastAsia="方正小标宋简体" w:cs="宋体"/>
          <w:bCs/>
          <w:kern w:val="0"/>
          <w:sz w:val="44"/>
          <w:szCs w:val="44"/>
        </w:rPr>
        <w:t xml:space="preserve">食品小作坊生产登记证现场核查表 </w:t>
      </w:r>
      <w:r>
        <w:rPr>
          <w:rFonts w:hint="eastAsia" w:ascii="方正小标宋简体" w:hAnsi="楷体" w:eastAsia="方正小标宋简体" w:cs="宋体"/>
          <w:kern w:val="0"/>
          <w:sz w:val="44"/>
          <w:szCs w:val="44"/>
        </w:rPr>
        <w:t>（     年    月    日）</w:t>
      </w:r>
    </w:p>
    <w:p>
      <w:pPr>
        <w:widowControl/>
        <w:spacing w:line="600" w:lineRule="exact"/>
        <w:ind w:right="-1420" w:rightChars="-676"/>
        <w:rPr>
          <w:rFonts w:ascii="方正小标宋简体" w:hAnsi="宋体" w:eastAsia="方正小标宋简体" w:cs="宋体"/>
          <w:bCs/>
          <w:kern w:val="0"/>
          <w:sz w:val="44"/>
          <w:szCs w:val="44"/>
        </w:rPr>
      </w:pPr>
      <w:r>
        <w:rPr>
          <w:rFonts w:hint="eastAsia" w:ascii="仿宋_GB2312" w:hAnsi="楷体" w:eastAsia="仿宋_GB2312" w:cs="宋体"/>
          <w:kern w:val="0"/>
          <w:sz w:val="24"/>
          <w:szCs w:val="24"/>
        </w:rPr>
        <w:t>食品小作坊名称：                                                             生产地址：</w:t>
      </w:r>
    </w:p>
    <w:tbl>
      <w:tblPr>
        <w:tblStyle w:val="5"/>
        <w:tblpPr w:leftFromText="180" w:rightFromText="180" w:vertAnchor="text" w:horzAnchor="margin" w:tblpX="108" w:tblpY="120"/>
        <w:tblW w:w="14283" w:type="dxa"/>
        <w:tblInd w:w="0" w:type="dxa"/>
        <w:tblLayout w:type="fixed"/>
        <w:tblCellMar>
          <w:top w:w="0" w:type="dxa"/>
          <w:left w:w="108" w:type="dxa"/>
          <w:bottom w:w="0" w:type="dxa"/>
          <w:right w:w="108" w:type="dxa"/>
        </w:tblCellMar>
      </w:tblPr>
      <w:tblGrid>
        <w:gridCol w:w="535"/>
        <w:gridCol w:w="745"/>
        <w:gridCol w:w="10168"/>
        <w:gridCol w:w="1418"/>
        <w:gridCol w:w="1417"/>
      </w:tblGrid>
      <w:tr>
        <w:tblPrEx>
          <w:tblLayout w:type="fixed"/>
          <w:tblCellMar>
            <w:top w:w="0" w:type="dxa"/>
            <w:left w:w="108" w:type="dxa"/>
            <w:bottom w:w="0" w:type="dxa"/>
            <w:right w:w="108" w:type="dxa"/>
          </w:tblCellMar>
        </w:tblPrEx>
        <w:trPr>
          <w:trHeight w:val="570"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序号</w:t>
            </w:r>
          </w:p>
        </w:tc>
        <w:tc>
          <w:tcPr>
            <w:tcW w:w="74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核查项目</w:t>
            </w:r>
          </w:p>
        </w:tc>
        <w:tc>
          <w:tcPr>
            <w:tcW w:w="1016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核查内容</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评价结果</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核查记录</w:t>
            </w:r>
          </w:p>
        </w:tc>
      </w:tr>
      <w:tr>
        <w:tblPrEx>
          <w:tblLayout w:type="fixed"/>
          <w:tblCellMar>
            <w:top w:w="0" w:type="dxa"/>
            <w:left w:w="108" w:type="dxa"/>
            <w:bottom w:w="0" w:type="dxa"/>
            <w:right w:w="108" w:type="dxa"/>
          </w:tblCellMar>
        </w:tblPrEx>
        <w:trPr>
          <w:trHeight w:val="621" w:hRule="atLeast"/>
        </w:trPr>
        <w:tc>
          <w:tcPr>
            <w:tcW w:w="535"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1</w:t>
            </w:r>
          </w:p>
        </w:tc>
        <w:tc>
          <w:tcPr>
            <w:tcW w:w="745" w:type="dxa"/>
            <w:vMerge w:val="restart"/>
            <w:tcBorders>
              <w:top w:val="nil"/>
              <w:left w:val="single" w:color="auto" w:sz="4" w:space="0"/>
              <w:bottom w:val="nil"/>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生产场所要求</w:t>
            </w:r>
          </w:p>
        </w:tc>
        <w:tc>
          <w:tcPr>
            <w:tcW w:w="10168" w:type="dxa"/>
            <w:tcBorders>
              <w:top w:val="nil"/>
              <w:left w:val="nil"/>
              <w:bottom w:val="single" w:color="auto" w:sz="4" w:space="0"/>
              <w:right w:val="single" w:color="auto" w:sz="4" w:space="0"/>
            </w:tcBorders>
            <w:noWrap w:val="0"/>
            <w:vAlign w:val="center"/>
          </w:tcPr>
          <w:p>
            <w:pPr>
              <w:spacing w:line="320" w:lineRule="exact"/>
              <w:rPr>
                <w:rFonts w:hint="eastAsia" w:ascii="仿宋_GB2312" w:hAnsi="楷体" w:eastAsia="仿宋_GB2312" w:cs="宋体"/>
                <w:spacing w:val="-12"/>
                <w:kern w:val="0"/>
                <w:szCs w:val="21"/>
              </w:rPr>
            </w:pPr>
            <w:r>
              <w:rPr>
                <w:rFonts w:hint="eastAsia" w:ascii="仿宋_GB2312" w:hAnsi="楷体" w:eastAsia="仿宋_GB2312" w:cs="宋体"/>
                <w:spacing w:val="-12"/>
                <w:kern w:val="0"/>
                <w:szCs w:val="21"/>
              </w:rPr>
              <w:t>*1.1.保持生产场所环境整洁，周围无虫害大量孳生的潜在场所。与开放式厕所、化粪池、污水池、家禽家畜圈(舍)、垃圾场(站)等污染源直线距离应在二十五米以上,应采取有效措施防止生产场所和周围区域内害虫滋生。</w:t>
            </w:r>
          </w:p>
        </w:tc>
        <w:tc>
          <w:tcPr>
            <w:tcW w:w="141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Layout w:type="fixed"/>
          <w:tblCellMar>
            <w:top w:w="0" w:type="dxa"/>
            <w:left w:w="108" w:type="dxa"/>
            <w:bottom w:w="0" w:type="dxa"/>
            <w:right w:w="108" w:type="dxa"/>
          </w:tblCellMar>
        </w:tblPrEx>
        <w:trPr>
          <w:trHeight w:val="614" w:hRule="atLeast"/>
        </w:trPr>
        <w:tc>
          <w:tcPr>
            <w:tcW w:w="53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745" w:type="dxa"/>
            <w:vMerge w:val="continue"/>
            <w:tcBorders>
              <w:top w:val="nil"/>
              <w:left w:val="single" w:color="auto" w:sz="4" w:space="0"/>
              <w:bottom w:val="nil"/>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10168"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楷体" w:eastAsia="仿宋_GB2312" w:cs="宋体"/>
                <w:kern w:val="0"/>
                <w:szCs w:val="21"/>
              </w:rPr>
            </w:pPr>
            <w:r>
              <w:rPr>
                <w:rFonts w:hint="eastAsia" w:ascii="仿宋_GB2312" w:eastAsia="仿宋_GB2312"/>
                <w:szCs w:val="21"/>
              </w:rPr>
              <w:t>*</w:t>
            </w:r>
            <w:r>
              <w:rPr>
                <w:rFonts w:hint="eastAsia" w:ascii="仿宋_GB2312" w:hAnsi="楷体" w:eastAsia="仿宋_GB2312" w:cs="宋体"/>
                <w:kern w:val="0"/>
                <w:szCs w:val="21"/>
              </w:rPr>
              <w:t>1.2、有独立的生产加工场所，场所面积与生产加工能力相适应，具有食品原料处理、食品加工、包装、贮存、经营等场所或区域，布局符合工艺流程要求；</w:t>
            </w:r>
          </w:p>
        </w:tc>
        <w:tc>
          <w:tcPr>
            <w:tcW w:w="141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Layout w:type="fixed"/>
          <w:tblCellMar>
            <w:top w:w="0" w:type="dxa"/>
            <w:left w:w="108" w:type="dxa"/>
            <w:bottom w:w="0" w:type="dxa"/>
            <w:right w:w="108" w:type="dxa"/>
          </w:tblCellMar>
        </w:tblPrEx>
        <w:trPr>
          <w:trHeight w:val="700" w:hRule="atLeast"/>
        </w:trPr>
        <w:tc>
          <w:tcPr>
            <w:tcW w:w="53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745" w:type="dxa"/>
            <w:vMerge w:val="continue"/>
            <w:tcBorders>
              <w:top w:val="nil"/>
              <w:left w:val="single" w:color="auto" w:sz="4" w:space="0"/>
              <w:bottom w:val="nil"/>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10168" w:type="dxa"/>
            <w:tcBorders>
              <w:top w:val="nil"/>
              <w:left w:val="nil"/>
              <w:bottom w:val="single" w:color="auto" w:sz="4" w:space="0"/>
              <w:right w:val="single" w:color="auto" w:sz="4" w:space="0"/>
            </w:tcBorders>
            <w:noWrap w:val="0"/>
            <w:vAlign w:val="center"/>
          </w:tcPr>
          <w:p>
            <w:pPr>
              <w:spacing w:line="320" w:lineRule="exact"/>
              <w:rPr>
                <w:rFonts w:hint="eastAsia" w:ascii="仿宋_GB2312" w:hAnsi="楷体" w:eastAsia="仿宋_GB2312" w:cs="宋体"/>
                <w:kern w:val="0"/>
                <w:szCs w:val="21"/>
              </w:rPr>
            </w:pPr>
            <w:r>
              <w:rPr>
                <w:rFonts w:hint="eastAsia" w:ascii="仿宋_GB2312" w:hAnsi="楷体" w:eastAsia="仿宋_GB2312" w:cs="宋体"/>
                <w:kern w:val="0"/>
                <w:szCs w:val="21"/>
              </w:rPr>
              <w:t>*1.3.生产场所布局合理，各功能区划分明显。生产区与生活区应当有效隔离，防止交叉污染,加工场所不得饲养家畜、家禽。</w:t>
            </w:r>
          </w:p>
        </w:tc>
        <w:tc>
          <w:tcPr>
            <w:tcW w:w="141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Layout w:type="fixed"/>
          <w:tblCellMar>
            <w:top w:w="0" w:type="dxa"/>
            <w:left w:w="108" w:type="dxa"/>
            <w:bottom w:w="0" w:type="dxa"/>
            <w:right w:w="108" w:type="dxa"/>
          </w:tblCellMar>
        </w:tblPrEx>
        <w:trPr>
          <w:trHeight w:val="1026" w:hRule="atLeast"/>
        </w:trPr>
        <w:tc>
          <w:tcPr>
            <w:tcW w:w="53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745" w:type="dxa"/>
            <w:vMerge w:val="continue"/>
            <w:tcBorders>
              <w:top w:val="nil"/>
              <w:left w:val="single" w:color="auto" w:sz="4" w:space="0"/>
              <w:bottom w:val="nil"/>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10168" w:type="dxa"/>
            <w:tcBorders>
              <w:top w:val="nil"/>
              <w:left w:val="nil"/>
              <w:bottom w:val="single" w:color="auto" w:sz="4" w:space="0"/>
              <w:right w:val="single" w:color="auto" w:sz="4" w:space="0"/>
            </w:tcBorders>
            <w:noWrap w:val="0"/>
            <w:vAlign w:val="center"/>
          </w:tcPr>
          <w:p>
            <w:pPr>
              <w:spacing w:line="320" w:lineRule="exact"/>
              <w:rPr>
                <w:rFonts w:hint="eastAsia" w:ascii="仿宋_GB2312" w:hAnsi="楷体" w:eastAsia="仿宋_GB2312" w:cs="宋体"/>
                <w:kern w:val="0"/>
                <w:szCs w:val="21"/>
              </w:rPr>
            </w:pPr>
            <w:r>
              <w:rPr>
                <w:rFonts w:hint="eastAsia" w:ascii="仿宋_GB2312" w:hAnsi="楷体" w:eastAsia="仿宋_GB2312" w:cs="宋体"/>
                <w:kern w:val="0"/>
                <w:szCs w:val="21"/>
              </w:rPr>
              <w:t>1.4.生产场所内保持清洁，地面、墙壁和顶棚应当采用无毒、无味、防渗透、防霉、不易破损脱落的材料建造，易于清洁；加工区墙壁表面光洁，无脱落，并符合相关要求；地面应用无毒、防滑的硬质材料铺设，无裂缝，排水状况良好；顶棚在结构上不利于冷凝水垂直滴落，裸露食品上方的管路应当有防止灰尘散落及水滴掉落的措施；门窗应采用防锈、易清洗的密封框架。闭合严密,不透水、不变形，并有防止虫害侵入的措施。</w:t>
            </w:r>
          </w:p>
        </w:tc>
        <w:tc>
          <w:tcPr>
            <w:tcW w:w="141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Layout w:type="fixed"/>
          <w:tblCellMar>
            <w:top w:w="0" w:type="dxa"/>
            <w:left w:w="108" w:type="dxa"/>
            <w:bottom w:w="0" w:type="dxa"/>
            <w:right w:w="108" w:type="dxa"/>
          </w:tblCellMar>
        </w:tblPrEx>
        <w:trPr>
          <w:trHeight w:val="538" w:hRule="atLeast"/>
        </w:trPr>
        <w:tc>
          <w:tcPr>
            <w:tcW w:w="535" w:type="dxa"/>
            <w:vMerge w:val="restart"/>
            <w:tcBorders>
              <w:top w:val="nil"/>
              <w:left w:val="single" w:color="auto" w:sz="4" w:space="0"/>
              <w:bottom w:val="single" w:color="000000"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2</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设施设备要求</w:t>
            </w:r>
          </w:p>
        </w:tc>
        <w:tc>
          <w:tcPr>
            <w:tcW w:w="10168"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楷体" w:eastAsia="仿宋_GB2312" w:cs="宋体"/>
                <w:kern w:val="0"/>
                <w:szCs w:val="21"/>
              </w:rPr>
            </w:pPr>
            <w:r>
              <w:rPr>
                <w:rFonts w:hint="eastAsia" w:ascii="仿宋_GB2312" w:eastAsia="仿宋_GB2312"/>
                <w:szCs w:val="21"/>
              </w:rPr>
              <w:t>*</w:t>
            </w:r>
            <w:r>
              <w:rPr>
                <w:rFonts w:hint="eastAsia" w:ascii="仿宋_GB2312" w:hAnsi="楷体" w:eastAsia="仿宋_GB2312" w:cs="宋体"/>
                <w:kern w:val="0"/>
                <w:szCs w:val="21"/>
              </w:rPr>
              <w:t>2.1、生产场所内有给排水设施，食品加工用水的水质应当符合GB 5749的规定，有特殊要求的应当符合相应规定。</w:t>
            </w:r>
          </w:p>
        </w:tc>
        <w:tc>
          <w:tcPr>
            <w:tcW w:w="141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Layout w:type="fixed"/>
          <w:tblCellMar>
            <w:top w:w="0" w:type="dxa"/>
            <w:left w:w="108" w:type="dxa"/>
            <w:bottom w:w="0" w:type="dxa"/>
            <w:right w:w="108" w:type="dxa"/>
          </w:tblCellMar>
        </w:tblPrEx>
        <w:trPr>
          <w:trHeight w:val="864" w:hRule="atLeast"/>
        </w:trPr>
        <w:tc>
          <w:tcPr>
            <w:tcW w:w="53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10168" w:type="dxa"/>
            <w:tcBorders>
              <w:top w:val="nil"/>
              <w:left w:val="nil"/>
              <w:bottom w:val="single" w:color="auto" w:sz="4" w:space="0"/>
              <w:right w:val="single" w:color="auto" w:sz="4" w:space="0"/>
            </w:tcBorders>
            <w:noWrap w:val="0"/>
            <w:vAlign w:val="center"/>
          </w:tcPr>
          <w:p>
            <w:pPr>
              <w:spacing w:line="320" w:lineRule="exact"/>
              <w:rPr>
                <w:rFonts w:hint="eastAsia" w:ascii="仿宋_GB2312" w:hAnsi="楷体" w:eastAsia="仿宋_GB2312" w:cs="宋体"/>
                <w:kern w:val="0"/>
                <w:szCs w:val="21"/>
              </w:rPr>
            </w:pPr>
            <w:r>
              <w:rPr>
                <w:rFonts w:hint="eastAsia" w:ascii="仿宋_GB2312" w:eastAsia="仿宋_GB2312"/>
                <w:szCs w:val="21"/>
              </w:rPr>
              <w:t>*</w:t>
            </w:r>
            <w:r>
              <w:rPr>
                <w:rFonts w:hint="eastAsia" w:ascii="仿宋_GB2312" w:hAnsi="楷体" w:eastAsia="仿宋_GB2312" w:cs="宋体"/>
                <w:kern w:val="0"/>
                <w:szCs w:val="21"/>
              </w:rPr>
              <w:t>2.2、应当配备适宜的通风、排气设施，并保持通畅，有相应的原料、容器、工具清洗设施（如专用清洗池）以及采光、照明、防腐、防尘、防蝇、防鼠、防虫和洗涤以及必要存放垃圾和废弃物的设备设施，并能正常使用。加工区的照明设施应安装防护罩。</w:t>
            </w:r>
          </w:p>
        </w:tc>
        <w:tc>
          <w:tcPr>
            <w:tcW w:w="141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Layout w:type="fixed"/>
          <w:tblCellMar>
            <w:top w:w="0" w:type="dxa"/>
            <w:left w:w="108" w:type="dxa"/>
            <w:bottom w:w="0" w:type="dxa"/>
            <w:right w:w="108" w:type="dxa"/>
          </w:tblCellMar>
        </w:tblPrEx>
        <w:trPr>
          <w:trHeight w:val="90" w:hRule="atLeast"/>
        </w:trPr>
        <w:tc>
          <w:tcPr>
            <w:tcW w:w="53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10168"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楷体" w:eastAsia="仿宋_GB2312" w:cs="宋体"/>
                <w:kern w:val="0"/>
                <w:szCs w:val="21"/>
              </w:rPr>
            </w:pPr>
            <w:r>
              <w:rPr>
                <w:rFonts w:hint="eastAsia" w:ascii="仿宋_GB2312" w:hAnsi="楷体" w:eastAsia="仿宋_GB2312" w:cs="宋体"/>
                <w:kern w:val="0"/>
                <w:szCs w:val="21"/>
              </w:rPr>
              <w:t>2.3、生产场所或车间入口处应当设置更衣室（柜）、洗手、消毒等设施。更衣柜应当保证工作服与个人服装及其他物品分开放置；卫生间为水冲式，不得与生产、包装或贮存等区域直接连通，并有洗手、消毒设施。</w:t>
            </w:r>
          </w:p>
        </w:tc>
        <w:tc>
          <w:tcPr>
            <w:tcW w:w="141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Layout w:type="fixed"/>
          <w:tblCellMar>
            <w:top w:w="0" w:type="dxa"/>
            <w:left w:w="108" w:type="dxa"/>
            <w:bottom w:w="0" w:type="dxa"/>
            <w:right w:w="108" w:type="dxa"/>
          </w:tblCellMar>
        </w:tblPrEx>
        <w:trPr>
          <w:trHeight w:val="545" w:hRule="atLeast"/>
        </w:trPr>
        <w:tc>
          <w:tcPr>
            <w:tcW w:w="535" w:type="dxa"/>
            <w:vMerge w:val="continue"/>
            <w:tcBorders>
              <w:top w:val="nil"/>
              <w:left w:val="single" w:color="auto" w:sz="4" w:space="0"/>
              <w:bottom w:val="single" w:color="000000"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eastAsia" w:ascii="仿宋_GB2312" w:hAnsi="楷体" w:eastAsia="仿宋_GB2312" w:cs="宋体"/>
                <w:kern w:val="0"/>
                <w:szCs w:val="21"/>
              </w:rPr>
            </w:pPr>
          </w:p>
        </w:tc>
        <w:tc>
          <w:tcPr>
            <w:tcW w:w="10168" w:type="dxa"/>
            <w:tcBorders>
              <w:top w:val="nil"/>
              <w:left w:val="nil"/>
              <w:bottom w:val="single" w:color="auto" w:sz="4" w:space="0"/>
              <w:right w:val="single" w:color="auto" w:sz="4" w:space="0"/>
            </w:tcBorders>
            <w:noWrap w:val="0"/>
            <w:vAlign w:val="center"/>
          </w:tcPr>
          <w:p>
            <w:pPr>
              <w:widowControl/>
              <w:spacing w:line="320" w:lineRule="exact"/>
              <w:jc w:val="left"/>
              <w:rPr>
                <w:rFonts w:hint="eastAsia" w:ascii="仿宋_GB2312" w:hAnsi="楷体" w:eastAsia="仿宋_GB2312" w:cs="宋体"/>
                <w:kern w:val="0"/>
                <w:szCs w:val="21"/>
              </w:rPr>
            </w:pPr>
            <w:r>
              <w:rPr>
                <w:rFonts w:hint="eastAsia" w:ascii="仿宋_GB2312" w:eastAsia="仿宋_GB2312"/>
                <w:szCs w:val="21"/>
              </w:rPr>
              <w:t>*</w:t>
            </w:r>
            <w:r>
              <w:rPr>
                <w:rFonts w:hint="eastAsia" w:ascii="仿宋_GB2312" w:hAnsi="楷体" w:eastAsia="仿宋_GB2312" w:cs="宋体"/>
                <w:kern w:val="0"/>
                <w:szCs w:val="21"/>
              </w:rPr>
              <w:t>2.4、具备与生产加工食品品种、工艺、数量相适应的生产加工、杀菌、包装等设施设备及工具（如原料切割粉碎、蒸煮烘烤设备、发酵池等）。</w:t>
            </w:r>
          </w:p>
        </w:tc>
        <w:tc>
          <w:tcPr>
            <w:tcW w:w="141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32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bl>
    <w:p>
      <w:pPr>
        <w:spacing w:line="240" w:lineRule="exact"/>
        <w:rPr>
          <w:rFonts w:ascii="仿宋_GB2312" w:hAnsi="仿宋_GB2312" w:eastAsia="仿宋_GB2312" w:cs="仿宋_GB2312"/>
          <w:kern w:val="0"/>
          <w:sz w:val="32"/>
          <w:szCs w:val="27"/>
        </w:rPr>
      </w:pPr>
    </w:p>
    <w:p>
      <w:pPr>
        <w:spacing w:line="240" w:lineRule="exact"/>
        <w:rPr>
          <w:rFonts w:ascii="仿宋_GB2312" w:hAnsi="仿宋_GB2312" w:eastAsia="仿宋_GB2312" w:cs="仿宋_GB2312"/>
          <w:kern w:val="0"/>
          <w:sz w:val="32"/>
          <w:szCs w:val="27"/>
        </w:rPr>
      </w:pPr>
      <w:r>
        <mc:AlternateContent>
          <mc:Choice Requires="wps">
            <w:drawing>
              <wp:anchor distT="45720" distB="45720" distL="114300" distR="114300" simplePos="0" relativeHeight="251660288" behindDoc="0" locked="0" layoutInCell="1" allowOverlap="1">
                <wp:simplePos x="0" y="0"/>
                <wp:positionH relativeFrom="column">
                  <wp:posOffset>-815340</wp:posOffset>
                </wp:positionH>
                <wp:positionV relativeFrom="paragraph">
                  <wp:posOffset>318770</wp:posOffset>
                </wp:positionV>
                <wp:extent cx="560070" cy="478790"/>
                <wp:effectExtent l="5080" t="5080" r="6350" b="11430"/>
                <wp:wrapSquare wrapText="bothSides"/>
                <wp:docPr id="2" name="文本框 2"/>
                <wp:cNvGraphicFramePr/>
                <a:graphic xmlns:a="http://schemas.openxmlformats.org/drawingml/2006/main">
                  <a:graphicData uri="http://schemas.microsoft.com/office/word/2010/wordprocessingShape">
                    <wps:wsp>
                      <wps:cNvSpPr txBox="1"/>
                      <wps:spPr>
                        <a:xfrm>
                          <a:off x="0" y="0"/>
                          <a:ext cx="560070" cy="4787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宋体" w:hAnsi="宋体"/>
                                <w:sz w:val="28"/>
                                <w:szCs w:val="28"/>
                              </w:rPr>
                            </w:pPr>
                            <w:r>
                              <w:rPr>
                                <w:rFonts w:ascii="宋体" w:hAnsi="宋体"/>
                                <w:sz w:val="28"/>
                                <w:szCs w:val="28"/>
                              </w:rPr>
                              <w:t>-13-</w:t>
                            </w:r>
                          </w:p>
                        </w:txbxContent>
                      </wps:txbx>
                      <wps:bodyPr vert="eaVert" upright="1">
                        <a:spAutoFit/>
                      </wps:bodyPr>
                    </wps:wsp>
                  </a:graphicData>
                </a:graphic>
                <wp14:sizeRelH relativeFrom="margin">
                  <wp14:pctWidth>40000</wp14:pctWidth>
                </wp14:sizeRelH>
                <wp14:sizeRelV relativeFrom="margin">
                  <wp14:pctHeight>0</wp14:pctHeight>
                </wp14:sizeRelV>
              </wp:anchor>
            </w:drawing>
          </mc:Choice>
          <mc:Fallback>
            <w:pict>
              <v:shape id="_x0000_s1026" o:spid="_x0000_s1026" o:spt="202" type="#_x0000_t202" style="position:absolute;left:0pt;margin-left:-64.2pt;margin-top:25.1pt;height:37.7pt;width:44.1pt;mso-wrap-distance-bottom:3.6pt;mso-wrap-distance-left:9pt;mso-wrap-distance-right:9pt;mso-wrap-distance-top:3.6pt;z-index:251660288;mso-width-relative:margin;mso-height-relative:margin;mso-width-percent:400;" fillcolor="#FFFFFF" filled="t" stroked="t" coordsize="21600,21600" o:gfxdata="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asI9NkAAAALAQAADwAAAAAAAAABACAAAAAiAAAAZHJzL2Rv&#10;d25yZXYueG1sUEsBAhQAFAAAAAgAh07iQBaRUNkAAgAADwQAAA4AAAAAAAAAAQAgAAAAKAEAAGRy&#10;cy9lMm9Eb2MueG1sUEsFBgAAAAAGAAYAWQEAAJoFAAAAAA==&#10;">
                <v:path/>
                <v:fill on="t" focussize="0,0"/>
                <v:stroke color="#FFFFFF"/>
                <v:imagedata o:title=""/>
                <o:lock v:ext="edit" grouping="f" rotation="f" text="f" aspectratio="f"/>
                <v:textbox style="layout-flow:vertical-ideographic;mso-fit-shape-to-text:t;">
                  <w:txbxContent>
                    <w:p>
                      <w:pPr>
                        <w:rPr>
                          <w:rFonts w:ascii="宋体" w:hAnsi="宋体"/>
                          <w:sz w:val="28"/>
                          <w:szCs w:val="28"/>
                        </w:rPr>
                      </w:pPr>
                      <w:r>
                        <w:rPr>
                          <w:rFonts w:ascii="宋体" w:hAnsi="宋体"/>
                          <w:sz w:val="28"/>
                          <w:szCs w:val="28"/>
                        </w:rPr>
                        <w:t>-13-</w:t>
                      </w:r>
                    </w:p>
                  </w:txbxContent>
                </v:textbox>
                <w10:wrap type="square"/>
              </v:shape>
            </w:pict>
          </mc:Fallback>
        </mc:AlternateContent>
      </w:r>
    </w:p>
    <w:p>
      <w:pPr>
        <w:spacing w:line="240" w:lineRule="exact"/>
        <w:rPr>
          <w:rFonts w:hint="eastAsia" w:ascii="仿宋_GB2312" w:hAnsi="仿宋_GB2312" w:eastAsia="仿宋_GB2312" w:cs="仿宋_GB2312"/>
          <w:kern w:val="0"/>
          <w:sz w:val="32"/>
          <w:szCs w:val="27"/>
        </w:rPr>
      </w:pPr>
      <w:r>
        <mc:AlternateContent>
          <mc:Choice Requires="wps">
            <w:drawing>
              <wp:anchor distT="45720" distB="45720" distL="114300" distR="114300" simplePos="0" relativeHeight="251661312" behindDoc="0" locked="0" layoutInCell="1" allowOverlap="1">
                <wp:simplePos x="0" y="0"/>
                <wp:positionH relativeFrom="column">
                  <wp:posOffset>-822960</wp:posOffset>
                </wp:positionH>
                <wp:positionV relativeFrom="paragraph">
                  <wp:posOffset>-748030</wp:posOffset>
                </wp:positionV>
                <wp:extent cx="560070" cy="478790"/>
                <wp:effectExtent l="5080" t="5080" r="6350" b="11430"/>
                <wp:wrapSquare wrapText="bothSides"/>
                <wp:docPr id="1" name="文本框 1"/>
                <wp:cNvGraphicFramePr/>
                <a:graphic xmlns:a="http://schemas.openxmlformats.org/drawingml/2006/main">
                  <a:graphicData uri="http://schemas.microsoft.com/office/word/2010/wordprocessingShape">
                    <wps:wsp>
                      <wps:cNvSpPr txBox="1"/>
                      <wps:spPr>
                        <a:xfrm>
                          <a:off x="0" y="0"/>
                          <a:ext cx="560070" cy="4787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宋体" w:hAnsi="宋体"/>
                                <w:sz w:val="28"/>
                                <w:szCs w:val="28"/>
                              </w:rPr>
                            </w:pPr>
                            <w:r>
                              <w:rPr>
                                <w:rFonts w:ascii="宋体" w:hAnsi="宋体"/>
                                <w:sz w:val="28"/>
                                <w:szCs w:val="28"/>
                              </w:rPr>
                              <w:t>-14-</w:t>
                            </w:r>
                          </w:p>
                        </w:txbxContent>
                      </wps:txbx>
                      <wps:bodyPr vert="eaVert" upright="1">
                        <a:spAutoFit/>
                      </wps:bodyPr>
                    </wps:wsp>
                  </a:graphicData>
                </a:graphic>
                <wp14:sizeRelH relativeFrom="margin">
                  <wp14:pctWidth>40000</wp14:pctWidth>
                </wp14:sizeRelH>
                <wp14:sizeRelV relativeFrom="margin">
                  <wp14:pctHeight>0</wp14:pctHeight>
                </wp14:sizeRelV>
              </wp:anchor>
            </w:drawing>
          </mc:Choice>
          <mc:Fallback>
            <w:pict>
              <v:shape id="_x0000_s1026" o:spid="_x0000_s1026" o:spt="202" type="#_x0000_t202" style="position:absolute;left:0pt;margin-left:-64.8pt;margin-top:-58.9pt;height:37.7pt;width:44.1pt;mso-wrap-distance-bottom:3.6pt;mso-wrap-distance-left:9pt;mso-wrap-distance-right:9pt;mso-wrap-distance-top:3.6pt;z-index:251661312;mso-width-relative:margin;mso-height-relative:margin;mso-width-percent:400;" fillcolor="#FFFFFF" filled="t" stroked="t" coordsize="21600,21600" o:gfxdata="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gs8ezaAAAADQEAAA8AAAAAAAAAAQAgAAAAIgAAAGRycy9k&#10;b3ducmV2LnhtbFBLAQIUABQAAAAIAIdO4kA34qqaAAIAAA8EAAAOAAAAAAAAAAEAIAAAACkBAABk&#10;cnMvZTJvRG9jLnhtbFBLBQYAAAAABgAGAFkBAACbBQAAAAA=&#10;">
                <v:path/>
                <v:fill on="t" focussize="0,0"/>
                <v:stroke color="#FFFFFF"/>
                <v:imagedata o:title=""/>
                <o:lock v:ext="edit" grouping="f" rotation="f" text="f" aspectratio="f"/>
                <v:textbox style="layout-flow:vertical-ideographic;mso-fit-shape-to-text:t;">
                  <w:txbxContent>
                    <w:p>
                      <w:pPr>
                        <w:rPr>
                          <w:rFonts w:ascii="宋体" w:hAnsi="宋体"/>
                          <w:sz w:val="28"/>
                          <w:szCs w:val="28"/>
                        </w:rPr>
                      </w:pPr>
                      <w:r>
                        <w:rPr>
                          <w:rFonts w:ascii="宋体" w:hAnsi="宋体"/>
                          <w:sz w:val="28"/>
                          <w:szCs w:val="28"/>
                        </w:rPr>
                        <w:t>-14-</w:t>
                      </w:r>
                    </w:p>
                  </w:txbxContent>
                </v:textbox>
                <w10:wrap type="square"/>
              </v:shape>
            </w:pict>
          </mc:Fallback>
        </mc:AlternateContent>
      </w:r>
    </w:p>
    <w:tbl>
      <w:tblPr>
        <w:tblStyle w:val="5"/>
        <w:tblpPr w:leftFromText="180" w:rightFromText="180" w:vertAnchor="text" w:horzAnchor="margin" w:tblpX="108" w:tblpY="-152"/>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735"/>
        <w:gridCol w:w="10185"/>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trPr>
        <w:tc>
          <w:tcPr>
            <w:tcW w:w="528" w:type="dxa"/>
            <w:vMerge w:val="restart"/>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3</w:t>
            </w:r>
          </w:p>
        </w:tc>
        <w:tc>
          <w:tcPr>
            <w:tcW w:w="735" w:type="dxa"/>
            <w:vMerge w:val="restart"/>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食品存贮销售要求</w:t>
            </w:r>
          </w:p>
        </w:tc>
        <w:tc>
          <w:tcPr>
            <w:tcW w:w="10185" w:type="dxa"/>
            <w:noWrap w:val="0"/>
            <w:vAlign w:val="center"/>
          </w:tcPr>
          <w:p>
            <w:pPr>
              <w:widowControl/>
              <w:spacing w:line="280" w:lineRule="exact"/>
              <w:jc w:val="left"/>
              <w:rPr>
                <w:rFonts w:hint="eastAsia" w:ascii="仿宋_GB2312" w:hAnsi="楷体" w:eastAsia="仿宋_GB2312" w:cs="宋体"/>
                <w:spacing w:val="-8"/>
                <w:kern w:val="21"/>
                <w:szCs w:val="21"/>
              </w:rPr>
            </w:pPr>
            <w:r>
              <w:rPr>
                <w:rFonts w:hint="eastAsia" w:ascii="仿宋_GB2312" w:hAnsi="楷体" w:eastAsia="仿宋_GB2312" w:cs="宋体"/>
                <w:spacing w:val="-8"/>
                <w:kern w:val="21"/>
                <w:szCs w:val="21"/>
              </w:rPr>
              <w:t>3.1、食品原辅料、半成品、成品、食品相关产品等物料应当依据性质的不同分设库房或分区存放。各类物料应当与墙壁、地面保持10厘米以上的距离，并明确标识，防止交叉污染。清洁剂、消毒剂、杀虫剂、润滑剂、燃料等有毒、有害物品应当单独分离存放；具有与食品贮存条件相适应的设施设备（如冰箱、冷柜、保鲜柜等）；</w:t>
            </w:r>
          </w:p>
        </w:tc>
        <w:tc>
          <w:tcPr>
            <w:tcW w:w="1418" w:type="dxa"/>
            <w:noWrap w:val="0"/>
            <w:vAlign w:val="center"/>
          </w:tcPr>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528" w:type="dxa"/>
            <w:vMerge w:val="continue"/>
            <w:noWrap w:val="0"/>
            <w:vAlign w:val="center"/>
          </w:tcPr>
          <w:p>
            <w:pPr>
              <w:widowControl/>
              <w:spacing w:line="360" w:lineRule="exact"/>
              <w:jc w:val="left"/>
              <w:rPr>
                <w:rFonts w:hint="eastAsia" w:ascii="仿宋_GB2312" w:hAnsi="楷体" w:eastAsia="仿宋_GB2312" w:cs="宋体"/>
                <w:kern w:val="0"/>
                <w:szCs w:val="21"/>
              </w:rPr>
            </w:pPr>
          </w:p>
        </w:tc>
        <w:tc>
          <w:tcPr>
            <w:tcW w:w="735" w:type="dxa"/>
            <w:vMerge w:val="continue"/>
            <w:noWrap w:val="0"/>
            <w:vAlign w:val="center"/>
          </w:tcPr>
          <w:p>
            <w:pPr>
              <w:widowControl/>
              <w:spacing w:line="360" w:lineRule="exact"/>
              <w:jc w:val="left"/>
              <w:rPr>
                <w:rFonts w:hint="eastAsia" w:ascii="仿宋_GB2312" w:hAnsi="楷体" w:eastAsia="仿宋_GB2312" w:cs="宋体"/>
                <w:kern w:val="0"/>
                <w:szCs w:val="21"/>
              </w:rPr>
            </w:pPr>
          </w:p>
        </w:tc>
        <w:tc>
          <w:tcPr>
            <w:tcW w:w="10185" w:type="dxa"/>
            <w:noWrap w:val="0"/>
            <w:vAlign w:val="center"/>
          </w:tcPr>
          <w:p>
            <w:pPr>
              <w:widowControl/>
              <w:spacing w:line="280" w:lineRule="exact"/>
              <w:jc w:val="left"/>
              <w:rPr>
                <w:rFonts w:hint="eastAsia" w:ascii="仿宋_GB2312" w:hAnsi="楷体" w:eastAsia="仿宋_GB2312" w:cs="宋体"/>
                <w:kern w:val="0"/>
                <w:szCs w:val="21"/>
              </w:rPr>
            </w:pPr>
            <w:r>
              <w:rPr>
                <w:rFonts w:hint="eastAsia" w:ascii="仿宋_GB2312" w:hAnsi="楷体" w:eastAsia="仿宋_GB2312" w:cs="宋体"/>
                <w:kern w:val="0"/>
                <w:szCs w:val="21"/>
              </w:rPr>
              <w:t>3.2、食品添加剂与其他物料分隔放置，食品添加剂贮存做到专人管理、专柜（专库）存放。专人登记，有专用的称量器具。</w:t>
            </w:r>
          </w:p>
        </w:tc>
        <w:tc>
          <w:tcPr>
            <w:tcW w:w="1418" w:type="dxa"/>
            <w:noWrap w:val="0"/>
            <w:vAlign w:val="center"/>
          </w:tcPr>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28" w:type="dxa"/>
            <w:vMerge w:val="continue"/>
            <w:noWrap w:val="0"/>
            <w:vAlign w:val="center"/>
          </w:tcPr>
          <w:p>
            <w:pPr>
              <w:widowControl/>
              <w:spacing w:line="360" w:lineRule="exact"/>
              <w:jc w:val="left"/>
              <w:rPr>
                <w:rFonts w:hint="eastAsia" w:ascii="仿宋_GB2312" w:hAnsi="楷体" w:eastAsia="仿宋_GB2312" w:cs="宋体"/>
                <w:kern w:val="0"/>
                <w:szCs w:val="21"/>
              </w:rPr>
            </w:pPr>
          </w:p>
        </w:tc>
        <w:tc>
          <w:tcPr>
            <w:tcW w:w="735" w:type="dxa"/>
            <w:vMerge w:val="continue"/>
            <w:noWrap w:val="0"/>
            <w:vAlign w:val="center"/>
          </w:tcPr>
          <w:p>
            <w:pPr>
              <w:widowControl/>
              <w:spacing w:line="360" w:lineRule="exact"/>
              <w:jc w:val="left"/>
              <w:rPr>
                <w:rFonts w:hint="eastAsia" w:ascii="仿宋_GB2312" w:hAnsi="楷体" w:eastAsia="仿宋_GB2312" w:cs="宋体"/>
                <w:kern w:val="0"/>
                <w:szCs w:val="21"/>
              </w:rPr>
            </w:pPr>
          </w:p>
        </w:tc>
        <w:tc>
          <w:tcPr>
            <w:tcW w:w="10185" w:type="dxa"/>
            <w:noWrap w:val="0"/>
            <w:vAlign w:val="center"/>
          </w:tcPr>
          <w:p>
            <w:pPr>
              <w:spacing w:line="280" w:lineRule="exact"/>
              <w:rPr>
                <w:rFonts w:hint="eastAsia" w:ascii="仿宋_GB2312" w:hAnsi="楷体" w:eastAsia="仿宋_GB2312" w:cs="宋体"/>
                <w:kern w:val="0"/>
                <w:szCs w:val="21"/>
              </w:rPr>
            </w:pPr>
            <w:r>
              <w:rPr>
                <w:rFonts w:hint="eastAsia" w:ascii="仿宋_GB2312" w:hAnsi="楷体" w:eastAsia="仿宋_GB2312" w:cs="宋体"/>
                <w:kern w:val="0"/>
                <w:szCs w:val="21"/>
              </w:rPr>
              <w:t>3.3、生产、销售、贮存、运输和装卸食品的容器、工具、设备应有防雨、防污染措施，应当安全、无害并保持清洁。不得与有毒、有害物品一同存放、运输。</w:t>
            </w:r>
          </w:p>
        </w:tc>
        <w:tc>
          <w:tcPr>
            <w:tcW w:w="1418" w:type="dxa"/>
            <w:noWrap w:val="0"/>
            <w:vAlign w:val="center"/>
          </w:tcPr>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528" w:type="dxa"/>
            <w:vMerge w:val="restart"/>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4</w:t>
            </w:r>
          </w:p>
        </w:tc>
        <w:tc>
          <w:tcPr>
            <w:tcW w:w="735" w:type="dxa"/>
            <w:vMerge w:val="restart"/>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人员</w:t>
            </w:r>
          </w:p>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管理要求</w:t>
            </w:r>
          </w:p>
        </w:tc>
        <w:tc>
          <w:tcPr>
            <w:tcW w:w="10185" w:type="dxa"/>
            <w:noWrap w:val="0"/>
            <w:vAlign w:val="center"/>
          </w:tcPr>
          <w:p>
            <w:pPr>
              <w:widowControl/>
              <w:spacing w:line="280" w:lineRule="exact"/>
              <w:jc w:val="left"/>
              <w:rPr>
                <w:rFonts w:hint="eastAsia" w:ascii="仿宋_GB2312" w:hAnsi="楷体" w:eastAsia="仿宋_GB2312" w:cs="宋体"/>
                <w:color w:val="000000"/>
                <w:kern w:val="0"/>
                <w:szCs w:val="21"/>
              </w:rPr>
            </w:pPr>
            <w:r>
              <w:rPr>
                <w:rFonts w:hint="eastAsia" w:ascii="仿宋_GB2312" w:hAnsi="楷体" w:eastAsia="仿宋_GB2312" w:cs="宋体"/>
                <w:color w:val="000000"/>
                <w:kern w:val="0"/>
                <w:szCs w:val="21"/>
              </w:rPr>
              <w:t>4.1、食品生产人员应当保持个人卫生，穿戴清洁的工作衣、帽、手套和口罩等；</w:t>
            </w:r>
          </w:p>
        </w:tc>
        <w:tc>
          <w:tcPr>
            <w:tcW w:w="1418" w:type="dxa"/>
            <w:noWrap w:val="0"/>
            <w:vAlign w:val="center"/>
          </w:tcPr>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528" w:type="dxa"/>
            <w:vMerge w:val="continue"/>
            <w:noWrap w:val="0"/>
            <w:vAlign w:val="center"/>
          </w:tcPr>
          <w:p>
            <w:pPr>
              <w:widowControl/>
              <w:spacing w:line="360" w:lineRule="exact"/>
              <w:jc w:val="left"/>
              <w:rPr>
                <w:rFonts w:hint="eastAsia" w:ascii="仿宋_GB2312" w:hAnsi="楷体" w:eastAsia="仿宋_GB2312" w:cs="宋体"/>
                <w:kern w:val="0"/>
                <w:szCs w:val="21"/>
              </w:rPr>
            </w:pPr>
          </w:p>
        </w:tc>
        <w:tc>
          <w:tcPr>
            <w:tcW w:w="735" w:type="dxa"/>
            <w:vMerge w:val="continue"/>
            <w:noWrap w:val="0"/>
            <w:vAlign w:val="center"/>
          </w:tcPr>
          <w:p>
            <w:pPr>
              <w:widowControl/>
              <w:spacing w:line="360" w:lineRule="exact"/>
              <w:jc w:val="left"/>
              <w:rPr>
                <w:rFonts w:hint="eastAsia" w:ascii="仿宋_GB2312" w:hAnsi="楷体" w:eastAsia="仿宋_GB2312" w:cs="宋体"/>
                <w:kern w:val="0"/>
                <w:szCs w:val="21"/>
              </w:rPr>
            </w:pPr>
          </w:p>
        </w:tc>
        <w:tc>
          <w:tcPr>
            <w:tcW w:w="10185" w:type="dxa"/>
            <w:noWrap w:val="0"/>
            <w:vAlign w:val="center"/>
          </w:tcPr>
          <w:p>
            <w:pPr>
              <w:spacing w:line="280" w:lineRule="exact"/>
              <w:rPr>
                <w:rFonts w:hint="eastAsia" w:ascii="仿宋_GB2312" w:hAnsi="楷体" w:eastAsia="仿宋_GB2312" w:cs="宋体"/>
                <w:kern w:val="0"/>
                <w:szCs w:val="21"/>
              </w:rPr>
            </w:pPr>
            <w:r>
              <w:rPr>
                <w:rFonts w:hint="eastAsia" w:ascii="仿宋_GB2312" w:eastAsia="仿宋_GB2312"/>
                <w:szCs w:val="21"/>
              </w:rPr>
              <w:t>*</w:t>
            </w:r>
            <w:r>
              <w:rPr>
                <w:rFonts w:hint="eastAsia" w:ascii="仿宋_GB2312" w:hAnsi="楷体" w:eastAsia="仿宋_GB2312" w:cs="宋体"/>
                <w:kern w:val="0"/>
                <w:szCs w:val="21"/>
              </w:rPr>
              <w:t>4.2、患有国务院卫生行政部门规定的有碍食品安全疾病的或有明显皮肤损伤未愈合的人员，不得从事接触直接入口食品的工作。</w:t>
            </w:r>
          </w:p>
        </w:tc>
        <w:tc>
          <w:tcPr>
            <w:tcW w:w="1418" w:type="dxa"/>
            <w:noWrap w:val="0"/>
            <w:vAlign w:val="center"/>
          </w:tcPr>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noWrap w:val="0"/>
            <w:vAlign w:val="center"/>
          </w:tcPr>
          <w:p>
            <w:pPr>
              <w:widowControl/>
              <w:spacing w:line="36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528" w:type="dxa"/>
            <w:vMerge w:val="restart"/>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5</w:t>
            </w:r>
          </w:p>
        </w:tc>
        <w:tc>
          <w:tcPr>
            <w:tcW w:w="735" w:type="dxa"/>
            <w:vMerge w:val="restart"/>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制度管理要求</w:t>
            </w:r>
          </w:p>
        </w:tc>
        <w:tc>
          <w:tcPr>
            <w:tcW w:w="10185" w:type="dxa"/>
            <w:noWrap w:val="0"/>
            <w:vAlign w:val="center"/>
          </w:tcPr>
          <w:p>
            <w:pPr>
              <w:widowControl/>
              <w:spacing w:line="300" w:lineRule="exact"/>
              <w:jc w:val="left"/>
              <w:rPr>
                <w:rFonts w:hint="eastAsia" w:ascii="仿宋_GB2312" w:hAnsi="楷体" w:eastAsia="仿宋_GB2312" w:cs="宋体"/>
                <w:kern w:val="0"/>
                <w:szCs w:val="21"/>
              </w:rPr>
            </w:pPr>
            <w:r>
              <w:rPr>
                <w:rFonts w:hint="eastAsia" w:ascii="仿宋_GB2312" w:hAnsi="楷体" w:eastAsia="仿宋_GB2312" w:cs="宋体"/>
                <w:kern w:val="0"/>
                <w:szCs w:val="21"/>
              </w:rPr>
              <w:t>5.1、建立从业人员健康管理制度，直接接触食品人员有健康证明，符合相关规定。从事接触直接入口食品工作的食品生产人员应当每年进行健康检查，取得健康证明后方可上岗工作；</w:t>
            </w:r>
          </w:p>
        </w:tc>
        <w:tc>
          <w:tcPr>
            <w:tcW w:w="1418" w:type="dxa"/>
            <w:noWrap w:val="0"/>
            <w:vAlign w:val="center"/>
          </w:tcPr>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528" w:type="dxa"/>
            <w:vMerge w:val="continue"/>
            <w:noWrap w:val="0"/>
            <w:vAlign w:val="center"/>
          </w:tcPr>
          <w:p>
            <w:pPr>
              <w:widowControl/>
              <w:spacing w:line="300" w:lineRule="exact"/>
              <w:jc w:val="left"/>
              <w:rPr>
                <w:rFonts w:hint="eastAsia" w:ascii="仿宋_GB2312" w:hAnsi="楷体" w:eastAsia="仿宋_GB2312" w:cs="宋体"/>
                <w:kern w:val="0"/>
                <w:szCs w:val="21"/>
              </w:rPr>
            </w:pPr>
          </w:p>
        </w:tc>
        <w:tc>
          <w:tcPr>
            <w:tcW w:w="735" w:type="dxa"/>
            <w:vMerge w:val="continue"/>
            <w:noWrap w:val="0"/>
            <w:vAlign w:val="center"/>
          </w:tcPr>
          <w:p>
            <w:pPr>
              <w:widowControl/>
              <w:spacing w:line="300" w:lineRule="exact"/>
              <w:jc w:val="left"/>
              <w:rPr>
                <w:rFonts w:hint="eastAsia" w:ascii="仿宋_GB2312" w:hAnsi="楷体" w:eastAsia="仿宋_GB2312" w:cs="宋体"/>
                <w:kern w:val="0"/>
                <w:szCs w:val="21"/>
              </w:rPr>
            </w:pPr>
          </w:p>
        </w:tc>
        <w:tc>
          <w:tcPr>
            <w:tcW w:w="10185" w:type="dxa"/>
            <w:noWrap w:val="0"/>
            <w:vAlign w:val="center"/>
          </w:tcPr>
          <w:p>
            <w:pPr>
              <w:widowControl/>
              <w:spacing w:line="280" w:lineRule="exact"/>
              <w:jc w:val="left"/>
              <w:rPr>
                <w:rFonts w:hint="eastAsia" w:ascii="仿宋_GB2312" w:hAnsi="楷体" w:eastAsia="仿宋_GB2312" w:cs="宋体"/>
                <w:kern w:val="0"/>
                <w:szCs w:val="21"/>
              </w:rPr>
            </w:pPr>
            <w:r>
              <w:rPr>
                <w:rFonts w:hint="eastAsia" w:ascii="仿宋_GB2312" w:hAnsi="楷体" w:eastAsia="仿宋_GB2312" w:cs="宋体"/>
                <w:kern w:val="0"/>
                <w:szCs w:val="21"/>
              </w:rPr>
              <w:t>5.2、建立进货查验记录制度。采购食品原料、辅料、食品添加剂以及食品相关产品，应当查验供货者的许可证和产品合格证明，如实记录食品原料、食品添加剂和食品相关产品的名称、规格、数量、生产日期或者生产批号、保质期、进货日期以及供货者名称、地址、联系方式等内容。不得使用不符合国家安全标准的原辅料、食品添加剂、食品相关产品；</w:t>
            </w:r>
          </w:p>
        </w:tc>
        <w:tc>
          <w:tcPr>
            <w:tcW w:w="1418" w:type="dxa"/>
            <w:noWrap w:val="0"/>
            <w:vAlign w:val="center"/>
          </w:tcPr>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28" w:type="dxa"/>
            <w:vMerge w:val="continue"/>
            <w:noWrap w:val="0"/>
            <w:vAlign w:val="center"/>
          </w:tcPr>
          <w:p>
            <w:pPr>
              <w:widowControl/>
              <w:spacing w:line="300" w:lineRule="exact"/>
              <w:jc w:val="left"/>
              <w:rPr>
                <w:rFonts w:hint="eastAsia" w:ascii="仿宋_GB2312" w:hAnsi="楷体" w:eastAsia="仿宋_GB2312" w:cs="宋体"/>
                <w:kern w:val="0"/>
                <w:szCs w:val="21"/>
              </w:rPr>
            </w:pPr>
          </w:p>
        </w:tc>
        <w:tc>
          <w:tcPr>
            <w:tcW w:w="735" w:type="dxa"/>
            <w:vMerge w:val="continue"/>
            <w:noWrap w:val="0"/>
            <w:vAlign w:val="center"/>
          </w:tcPr>
          <w:p>
            <w:pPr>
              <w:widowControl/>
              <w:spacing w:line="300" w:lineRule="exact"/>
              <w:jc w:val="left"/>
              <w:rPr>
                <w:rFonts w:hint="eastAsia" w:ascii="仿宋_GB2312" w:hAnsi="楷体" w:eastAsia="仿宋_GB2312" w:cs="宋体"/>
                <w:kern w:val="0"/>
                <w:szCs w:val="21"/>
              </w:rPr>
            </w:pPr>
          </w:p>
        </w:tc>
        <w:tc>
          <w:tcPr>
            <w:tcW w:w="10185" w:type="dxa"/>
            <w:noWrap w:val="0"/>
            <w:vAlign w:val="center"/>
          </w:tcPr>
          <w:p>
            <w:pPr>
              <w:spacing w:line="280" w:lineRule="exact"/>
              <w:rPr>
                <w:rFonts w:hint="eastAsia" w:ascii="仿宋_GB2312" w:hAnsi="楷体" w:eastAsia="仿宋_GB2312" w:cs="宋体"/>
                <w:kern w:val="0"/>
                <w:szCs w:val="21"/>
              </w:rPr>
            </w:pPr>
            <w:r>
              <w:rPr>
                <w:rFonts w:hint="eastAsia" w:ascii="仿宋_GB2312" w:hAnsi="楷体" w:eastAsia="仿宋_GB2312" w:cs="宋体"/>
                <w:kern w:val="0"/>
                <w:szCs w:val="21"/>
              </w:rPr>
              <w:t>5.3、食品小作坊应当建立生产及销售情况记录制度。有记录台账，如实记录生产食品的名称、规格、数量、食品添加剂的使用情况、生产日期、销售去向等内容；</w:t>
            </w:r>
          </w:p>
        </w:tc>
        <w:tc>
          <w:tcPr>
            <w:tcW w:w="1418" w:type="dxa"/>
            <w:noWrap w:val="0"/>
            <w:vAlign w:val="center"/>
          </w:tcPr>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符    合□</w:t>
            </w:r>
          </w:p>
          <w:p>
            <w:pPr>
              <w:widowControl/>
              <w:spacing w:line="28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不 符 合□</w:t>
            </w:r>
          </w:p>
        </w:tc>
        <w:tc>
          <w:tcPr>
            <w:tcW w:w="1417" w:type="dxa"/>
            <w:noWrap w:val="0"/>
            <w:vAlign w:val="center"/>
          </w:tcPr>
          <w:p>
            <w:pPr>
              <w:widowControl/>
              <w:spacing w:line="300" w:lineRule="exact"/>
              <w:jc w:val="center"/>
              <w:rPr>
                <w:rFonts w:hint="eastAsia" w:ascii="仿宋_GB2312" w:hAnsi="楷体" w:eastAsia="仿宋_GB2312" w:cs="宋体"/>
                <w:kern w:val="0"/>
                <w:szCs w:val="21"/>
              </w:rPr>
            </w:pPr>
            <w:r>
              <w:rPr>
                <w:rFonts w:hint="eastAsia" w:ascii="仿宋_GB2312" w:hAnsi="楷体" w:eastAsia="仿宋_GB2312"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4283" w:type="dxa"/>
            <w:gridSpan w:val="5"/>
            <w:noWrap w:val="0"/>
            <w:vAlign w:val="center"/>
          </w:tcPr>
          <w:p>
            <w:pPr>
              <w:widowControl/>
              <w:spacing w:line="340" w:lineRule="exact"/>
              <w:jc w:val="left"/>
              <w:rPr>
                <w:rFonts w:hint="eastAsia" w:ascii="仿宋_GB2312" w:hAnsi="楷体" w:eastAsia="仿宋_GB2312" w:cs="宋体"/>
                <w:kern w:val="0"/>
                <w:szCs w:val="21"/>
              </w:rPr>
            </w:pPr>
            <w:r>
              <w:rPr>
                <w:rFonts w:hint="eastAsia" w:ascii="仿宋_GB2312" w:hAnsi="楷体" w:eastAsia="仿宋_GB2312" w:cs="宋体"/>
                <w:kern w:val="0"/>
                <w:szCs w:val="21"/>
              </w:rPr>
              <w:t>重点项目不符合项＿个   一般项目不符合项＿个</w:t>
            </w:r>
          </w:p>
          <w:p>
            <w:pPr>
              <w:widowControl/>
              <w:spacing w:line="460" w:lineRule="exact"/>
              <w:rPr>
                <w:rFonts w:hint="eastAsia" w:ascii="仿宋_GB2312" w:hAnsi="楷体" w:eastAsia="仿宋_GB2312" w:cs="宋体"/>
                <w:kern w:val="0"/>
                <w:szCs w:val="21"/>
              </w:rPr>
            </w:pPr>
            <w:r>
              <w:rPr>
                <w:rFonts w:hint="eastAsia" w:ascii="仿宋_GB2312" w:hAnsi="楷体" w:eastAsia="仿宋_GB2312" w:cs="宋体"/>
                <w:bCs/>
                <w:kern w:val="0"/>
                <w:szCs w:val="21"/>
              </w:rPr>
              <w:t xml:space="preserve">核查结论：   通过 □                           不予通过 □ </w:t>
            </w:r>
            <w:r>
              <w:rPr>
                <w:rFonts w:ascii="楷体" w:hAnsi="楷体" w:eastAsia="楷体" w:cs="宋体"/>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14283" w:type="dxa"/>
            <w:gridSpan w:val="5"/>
            <w:noWrap w:val="0"/>
            <w:vAlign w:val="center"/>
          </w:tcPr>
          <w:p>
            <w:pPr>
              <w:widowControl/>
              <w:spacing w:line="340" w:lineRule="exact"/>
              <w:jc w:val="left"/>
              <w:rPr>
                <w:rFonts w:hint="eastAsia" w:ascii="仿宋_GB2312" w:hAnsi="楷体" w:eastAsia="仿宋_GB2312" w:cs="宋体"/>
                <w:kern w:val="0"/>
                <w:szCs w:val="21"/>
              </w:rPr>
            </w:pPr>
            <w:r>
              <w:rPr>
                <w:rFonts w:hint="eastAsia" w:ascii="仿宋_GB2312" w:hAnsi="楷体" w:eastAsia="仿宋_GB2312" w:cs="宋体"/>
                <w:kern w:val="0"/>
                <w:szCs w:val="21"/>
              </w:rPr>
              <w:t xml:space="preserve">现场核查组长（签字）：                      执法证号：                                         </w:t>
            </w:r>
            <w:r>
              <w:rPr>
                <w:rFonts w:hint="eastAsia" w:ascii="仿宋_GB2312" w:hAnsi="楷体" w:eastAsia="仿宋_GB2312" w:cs="宋体"/>
                <w:kern w:val="0"/>
                <w:szCs w:val="21"/>
              </w:rPr>
              <w:br w:type="textWrapping"/>
            </w:r>
            <w:r>
              <w:rPr>
                <w:rFonts w:hint="eastAsia" w:ascii="仿宋_GB2312" w:hAnsi="楷体" w:eastAsia="仿宋_GB2312" w:cs="宋体"/>
                <w:kern w:val="0"/>
                <w:szCs w:val="21"/>
              </w:rPr>
              <w:t xml:space="preserve">现场核查成员（签字）：                      执法证号：                                  </w:t>
            </w:r>
          </w:p>
          <w:p>
            <w:pPr>
              <w:widowControl/>
              <w:spacing w:line="460" w:lineRule="exact"/>
              <w:rPr>
                <w:rFonts w:hint="eastAsia" w:ascii="仿宋_GB2312" w:hAnsi="楷体" w:eastAsia="仿宋_GB2312" w:cs="宋体"/>
                <w:kern w:val="0"/>
                <w:szCs w:val="21"/>
              </w:rPr>
            </w:pPr>
            <w:r>
              <w:rPr>
                <w:rFonts w:hint="eastAsia" w:ascii="仿宋_GB2312" w:hAnsi="楷体" w:eastAsia="仿宋_GB2312" w:cs="宋体"/>
                <w:kern w:val="0"/>
                <w:szCs w:val="21"/>
              </w:rPr>
              <w:t xml:space="preserve">核查时间：   </w:t>
            </w:r>
          </w:p>
          <w:p>
            <w:pPr>
              <w:widowControl/>
              <w:spacing w:line="460" w:lineRule="exact"/>
              <w:rPr>
                <w:rFonts w:hint="eastAsia" w:ascii="仿宋_GB2312" w:hAnsi="楷体" w:eastAsia="仿宋_GB2312" w:cs="宋体"/>
                <w:kern w:val="0"/>
                <w:szCs w:val="21"/>
              </w:rPr>
            </w:pPr>
            <w:r>
              <w:rPr>
                <w:rFonts w:hint="eastAsia" w:ascii="仿宋_GB2312" w:hAnsi="楷体" w:eastAsia="仿宋_GB2312" w:cs="宋体"/>
                <w:kern w:val="0"/>
                <w:szCs w:val="21"/>
              </w:rPr>
              <w:t xml:space="preserve">食品小作坊负责人意见(签字)                  联系电话：             </w:t>
            </w:r>
            <w:r>
              <w:rPr>
                <w:rFonts w:ascii="楷体" w:hAnsi="楷体" w:eastAsia="楷体" w:cs="宋体"/>
                <w:kern w:val="0"/>
                <w:sz w:val="28"/>
                <w:szCs w:val="28"/>
              </w:rPr>
              <w:t xml:space="preserve">   </w:t>
            </w:r>
          </w:p>
        </w:tc>
      </w:tr>
    </w:tbl>
    <w:p>
      <w:pPr>
        <w:pStyle w:val="2"/>
        <w:tabs>
          <w:tab w:val="left" w:pos="52"/>
        </w:tabs>
        <w:spacing w:after="0" w:line="600" w:lineRule="exact"/>
        <w:ind w:left="0" w:leftChars="0"/>
        <w:jc w:val="center"/>
        <w:rPr>
          <w:rFonts w:ascii="仿宋_GB2312"/>
          <w:color w:val="000000"/>
          <w:sz w:val="28"/>
          <w:szCs w:val="28"/>
        </w:rPr>
        <w:sectPr>
          <w:headerReference r:id="rId3" w:type="default"/>
          <w:footerReference r:id="rId4" w:type="default"/>
          <w:footerReference r:id="rId5" w:type="even"/>
          <w:pgSz w:w="16838" w:h="11906" w:orient="landscape"/>
          <w:pgMar w:top="1588" w:right="2098" w:bottom="1588" w:left="1985" w:header="851" w:footer="1134" w:gutter="0"/>
          <w:pgBorders>
            <w:top w:val="none" w:sz="0" w:space="0"/>
            <w:left w:val="none" w:sz="0" w:space="0"/>
            <w:bottom w:val="none" w:sz="0" w:space="0"/>
            <w:right w:val="none" w:sz="0" w:space="0"/>
          </w:pgBorders>
          <w:cols w:space="720" w:num="1"/>
          <w:docGrid w:type="lines" w:linePitch="579" w:charSpace="-43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7770F"/>
    <w:rsid w:val="6327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仿宋_GB2312"/>
      <w:kern w:val="0"/>
      <w:sz w:val="32"/>
      <w:szCs w:val="32"/>
    </w:rPr>
  </w:style>
  <w:style w:type="paragraph" w:styleId="3">
    <w:name w:val="footer"/>
    <w:basedOn w:val="1"/>
    <w:qFormat/>
    <w:uiPriority w:val="99"/>
    <w:pPr>
      <w:tabs>
        <w:tab w:val="center" w:pos="4153"/>
        <w:tab w:val="right" w:pos="8306"/>
      </w:tabs>
      <w:snapToGrid w:val="0"/>
      <w:jc w:val="left"/>
    </w:pPr>
    <w:rPr>
      <w:rFonts w:ascii="Times New Roman" w:hAnsi="Times New Roman" w:eastAsia="仿宋_GB2312"/>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2019-05-28T08:39:00Z</dcterms:created>
  <dc:creator>秋梓霂</dc:creator>
  <cp:lastModifiedBy>秋梓霂</cp:lastModifiedBy>
  <dcterms:modified xsi:type="dcterms:W3CDTF">2019-05-28T08:40:08Z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